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93C5" w14:textId="7054D6C3" w:rsidR="00D84DAC" w:rsidRPr="00864643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864643">
        <w:rPr>
          <w:b/>
          <w:sz w:val="21"/>
          <w:szCs w:val="21"/>
          <w:lang w:val="es-PE"/>
        </w:rPr>
        <w:t xml:space="preserve"> </w:t>
      </w:r>
      <w:r w:rsidR="00FA4553" w:rsidRPr="00864643">
        <w:rPr>
          <w:b/>
          <w:sz w:val="21"/>
          <w:szCs w:val="21"/>
          <w:lang w:val="es-PE"/>
        </w:rPr>
        <w:t>“</w:t>
      </w:r>
      <w:r w:rsidR="0081171E" w:rsidRPr="0081171E">
        <w:rPr>
          <w:rStyle w:val="normaltextrun"/>
          <w:b/>
          <w:sz w:val="21"/>
          <w:szCs w:val="21"/>
          <w:shd w:val="clear" w:color="auto" w:fill="FFFFFF"/>
        </w:rPr>
        <w:t>Reducción y Manejo de Desastres Volcánicos para Países de América Central y del Sur</w:t>
      </w:r>
      <w:r w:rsidR="0081171E">
        <w:rPr>
          <w:rStyle w:val="normaltextrun"/>
          <w:sz w:val="21"/>
          <w:szCs w:val="21"/>
          <w:shd w:val="clear" w:color="auto" w:fill="FFFFFF"/>
        </w:rPr>
        <w:t>” </w:t>
      </w:r>
    </w:p>
    <w:p w14:paraId="26E59BB3" w14:textId="77777777" w:rsidR="009507B0" w:rsidRPr="00864643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4D59123B" w:rsidR="00CD4CBD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646D31">
        <w:rPr>
          <w:rFonts w:ascii="Calibri" w:hAnsi="Calibri" w:cs="Calibri"/>
          <w:color w:val="auto"/>
          <w:sz w:val="22"/>
          <w:szCs w:val="22"/>
          <w:lang w:val="es-PE"/>
        </w:rPr>
        <w:t>presencial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81171E">
        <w:rPr>
          <w:sz w:val="21"/>
          <w:szCs w:val="21"/>
          <w:lang w:val="es-PE"/>
        </w:rPr>
        <w:t>2</w:t>
      </w:r>
      <w:r w:rsidR="001102CE">
        <w:rPr>
          <w:sz w:val="21"/>
          <w:szCs w:val="21"/>
          <w:lang w:val="es-PE"/>
        </w:rPr>
        <w:t>1</w:t>
      </w:r>
      <w:r w:rsidR="0081171E">
        <w:rPr>
          <w:sz w:val="21"/>
          <w:szCs w:val="21"/>
          <w:lang w:val="es-PE"/>
        </w:rPr>
        <w:t xml:space="preserve"> de </w:t>
      </w:r>
      <w:proofErr w:type="gramStart"/>
      <w:r w:rsidR="00646D31">
        <w:rPr>
          <w:sz w:val="21"/>
          <w:szCs w:val="21"/>
          <w:lang w:val="es-PE"/>
        </w:rPr>
        <w:t>Agosto</w:t>
      </w:r>
      <w:proofErr w:type="gramEnd"/>
      <w:r w:rsidR="0081171E">
        <w:rPr>
          <w:sz w:val="21"/>
          <w:szCs w:val="21"/>
          <w:lang w:val="es-PE"/>
        </w:rPr>
        <w:t xml:space="preserve"> al </w:t>
      </w:r>
      <w:r w:rsidR="00646D31">
        <w:rPr>
          <w:sz w:val="21"/>
          <w:szCs w:val="21"/>
          <w:lang w:val="es-PE"/>
        </w:rPr>
        <w:t>15</w:t>
      </w:r>
      <w:r w:rsidR="00C06641">
        <w:rPr>
          <w:sz w:val="21"/>
          <w:szCs w:val="21"/>
          <w:lang w:val="es-PE"/>
        </w:rPr>
        <w:t xml:space="preserve"> de </w:t>
      </w:r>
      <w:r w:rsidR="00646D31">
        <w:rPr>
          <w:sz w:val="21"/>
          <w:szCs w:val="21"/>
          <w:lang w:val="es-PE"/>
        </w:rPr>
        <w:t>Septiembre 2023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78406018" w14:textId="77777777" w:rsidR="00EE68BF" w:rsidRDefault="00EE68BF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</w:p>
    <w:p w14:paraId="67459C9B" w14:textId="4089E6A0" w:rsidR="00DF2D51" w:rsidRPr="00F7539B" w:rsidRDefault="00DF2D51" w:rsidP="00DF2D51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>
        <w:rPr>
          <w:rFonts w:ascii="Arial" w:hAnsi="Arial" w:cs="Arial"/>
          <w:sz w:val="18"/>
          <w:szCs w:val="21"/>
          <w:lang w:val="es-PE"/>
        </w:rPr>
        <w:t xml:space="preserve">* </w:t>
      </w:r>
      <w:r w:rsidRPr="00DF2D51">
        <w:rPr>
          <w:rFonts w:ascii="Arial" w:hAnsi="Arial" w:cs="Arial"/>
          <w:sz w:val="18"/>
          <w:szCs w:val="21"/>
          <w:lang w:val="es-PE"/>
        </w:rPr>
        <w:t>Antes de comenzar el programa en Japón, hay un programa de estudios previo</w:t>
      </w:r>
      <w:r w:rsidR="00DD03D4">
        <w:rPr>
          <w:rFonts w:ascii="Arial" w:hAnsi="Arial" w:cs="Arial"/>
          <w:sz w:val="18"/>
          <w:szCs w:val="21"/>
          <w:lang w:val="es-PE"/>
        </w:rPr>
        <w:t xml:space="preserve"> del 28 de julio al 14 de agosto de 2023</w:t>
      </w:r>
      <w:r w:rsidRPr="00DF2D51">
        <w:rPr>
          <w:rFonts w:ascii="Arial" w:hAnsi="Arial" w:cs="Arial"/>
          <w:sz w:val="18"/>
          <w:szCs w:val="21"/>
          <w:lang w:val="es-PE"/>
        </w:rPr>
        <w:t xml:space="preserve"> en el que se </w:t>
      </w:r>
      <w:r w:rsidR="00DD03D4">
        <w:rPr>
          <w:rFonts w:ascii="Arial" w:hAnsi="Arial" w:cs="Arial"/>
          <w:sz w:val="18"/>
          <w:szCs w:val="21"/>
          <w:lang w:val="es-PE"/>
        </w:rPr>
        <w:t>revisará</w:t>
      </w:r>
      <w:r w:rsidRPr="00DF2D51">
        <w:rPr>
          <w:rFonts w:ascii="Arial" w:hAnsi="Arial" w:cs="Arial"/>
          <w:sz w:val="18"/>
          <w:szCs w:val="21"/>
          <w:lang w:val="es-PE"/>
        </w:rPr>
        <w:t xml:space="preserve"> materiales de vídeo</w:t>
      </w:r>
    </w:p>
    <w:p w14:paraId="2CC80A9E" w14:textId="55F7482B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proofErr w:type="gramStart"/>
      <w:r w:rsidR="0086464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  <w:proofErr w:type="gramEnd"/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151BC23E" w14:textId="13FE47CE" w:rsidR="00646D31" w:rsidRDefault="000D2C96" w:rsidP="00864643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>Organismos gubernamentales</w:t>
      </w:r>
      <w:r w:rsidR="00AD7B5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investigación</w:t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o no gubernamentales o al personal de </w:t>
      </w:r>
      <w:r w:rsidR="00AD7B5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empresas privadas, instituciones educativas que se </w:t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>encarga</w:t>
      </w:r>
      <w:r w:rsidR="00AD7B50">
        <w:rPr>
          <w:rFonts w:ascii="Calibri" w:hAnsi="Calibri" w:cs="Calibri"/>
          <w:b/>
          <w:color w:val="auto"/>
          <w:sz w:val="22"/>
          <w:szCs w:val="22"/>
          <w:lang w:val="es-PE"/>
        </w:rPr>
        <w:t>n</w:t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la </w:t>
      </w:r>
      <w:proofErr w:type="spellStart"/>
      <w:r w:rsidR="00AD7B50">
        <w:rPr>
          <w:rFonts w:ascii="Calibri" w:hAnsi="Calibri" w:cs="Calibri"/>
          <w:b/>
          <w:color w:val="auto"/>
          <w:sz w:val="22"/>
          <w:szCs w:val="22"/>
          <w:lang w:val="es-PE"/>
        </w:rPr>
        <w:t>la</w:t>
      </w:r>
      <w:proofErr w:type="spellEnd"/>
      <w:r w:rsidR="00AD7B5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gestión del riesgo de </w:t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>catástrofes.</w:t>
      </w:r>
      <w:r w:rsidR="00646D31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Tener 3 años de experiencia en el campo de reducción de riesgos y manejo de desastres volcánicos. Antecedentes académicos en vulcanología, manejo de desastres naturales, etc.</w:t>
      </w:r>
    </w:p>
    <w:p w14:paraId="49A235FE" w14:textId="4417A8F0" w:rsidR="00422A0C" w:rsidRPr="00760A0D" w:rsidRDefault="00760A0D" w:rsidP="00760A0D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6EFE2989" w14:textId="1970017D" w:rsidR="001D5CA7" w:rsidRPr="00F7539B" w:rsidRDefault="002C14AA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="002E769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Entre 25 y 5</w:t>
      </w:r>
      <w:r w:rsidR="00646D31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Pr="002C14AA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</w:t>
      </w: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09AF5BAE" w:rsidR="004E7BB2" w:rsidRPr="00646D31" w:rsidRDefault="009507B0" w:rsidP="00646D31">
      <w:pPr>
        <w:pStyle w:val="Default"/>
        <w:rPr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646D31" w:rsidRPr="00646D31">
        <w:rPr>
          <w:rFonts w:ascii="Calibri" w:hAnsi="Calibri" w:cs="Calibri"/>
          <w:color w:val="auto"/>
          <w:sz w:val="22"/>
          <w:szCs w:val="22"/>
          <w:lang w:val="es-PE"/>
        </w:rPr>
        <w:t>202208499J001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1E5C18C2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</w:t>
      </w:r>
      <w:proofErr w:type="spellStart"/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Application</w:t>
      </w:r>
      <w:proofErr w:type="spellEnd"/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Form_2022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5BEAFA8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  <w:r w:rsidR="00C06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ab/>
      </w:r>
    </w:p>
    <w:p w14:paraId="5B2E1966" w14:textId="7DD52881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6D3EF2F5" w14:textId="5DA2EDBE" w:rsidR="00C06641" w:rsidRPr="00F7539B" w:rsidRDefault="00C06641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 Carta de Compromiso de Retorno</w:t>
      </w:r>
    </w:p>
    <w:p w14:paraId="1291465C" w14:textId="25A06410" w:rsidR="009507B0" w:rsidRPr="00F7539B" w:rsidRDefault="00EE68BF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* Todos estos documentos se pueden descargar de la página web de APCI</w:t>
      </w:r>
    </w:p>
    <w:p w14:paraId="5138183D" w14:textId="77777777" w:rsidR="00EE68BF" w:rsidRDefault="00EE68BF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6A44E4E7" w14:textId="26882D21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01BD442C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DNI, </w:t>
      </w:r>
      <w:r w:rsidR="00646D31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pasaporte,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58E009C4" w:rsidR="008B530F" w:rsidRPr="00F7539B" w:rsidRDefault="00C06641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-ANEXO I</w:t>
      </w:r>
      <w:r w:rsidR="00DD03D4">
        <w:rPr>
          <w:rFonts w:ascii="Calibri" w:hAnsi="Calibri" w:cs="Calibri"/>
          <w:color w:val="auto"/>
          <w:sz w:val="22"/>
          <w:szCs w:val="22"/>
          <w:lang w:val="es-PE"/>
        </w:rPr>
        <w:t xml:space="preserve"> y ANEXO I-1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- Informe de Trabajo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presentarlo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junto con los documentos de postulació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indica</w:t>
      </w:r>
      <w:r w:rsidR="00A01CFF">
        <w:rPr>
          <w:rFonts w:ascii="Calibri" w:hAnsi="Calibri" w:cs="Calibri"/>
          <w:color w:val="auto"/>
          <w:sz w:val="22"/>
          <w:szCs w:val="22"/>
          <w:lang w:val="es-PE"/>
        </w:rPr>
        <w:t xml:space="preserve">ciones del Anexo I en la página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23 al 2</w:t>
      </w:r>
      <w:r w:rsidR="00DD03D4">
        <w:rPr>
          <w:rFonts w:ascii="Calibri" w:hAnsi="Calibri" w:cs="Calibri"/>
          <w:color w:val="auto"/>
          <w:sz w:val="22"/>
          <w:szCs w:val="22"/>
          <w:lang w:val="es-PE"/>
        </w:rPr>
        <w:t>7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5F48A5">
        <w:rPr>
          <w:rFonts w:ascii="Calibri" w:hAnsi="Calibri" w:cs="Calibri"/>
          <w:color w:val="auto"/>
          <w:sz w:val="22"/>
          <w:szCs w:val="22"/>
          <w:lang w:val="es-PE"/>
        </w:rPr>
        <w:t xml:space="preserve">del </w:t>
      </w:r>
      <w:r w:rsidR="005F48A5" w:rsidRPr="008B530F">
        <w:rPr>
          <w:rFonts w:ascii="Calibri" w:hAnsi="Calibri" w:cs="Calibri"/>
          <w:color w:val="auto"/>
          <w:sz w:val="22"/>
          <w:szCs w:val="22"/>
          <w:lang w:val="es-PE"/>
        </w:rPr>
        <w:t>documento</w:t>
      </w:r>
      <w:r w:rsidR="005F48A5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5F48A5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646D31" w:rsidRPr="00646D31">
        <w:rPr>
          <w:rFonts w:ascii="Calibri" w:hAnsi="Calibri" w:cs="Calibri"/>
          <w:color w:val="auto"/>
          <w:sz w:val="22"/>
          <w:szCs w:val="22"/>
          <w:lang w:val="es-PE"/>
        </w:rPr>
        <w:t>202208499J001</w:t>
      </w:r>
      <w:r w:rsidR="005F48A5">
        <w:rPr>
          <w:rFonts w:ascii="Calibri" w:hAnsi="Calibri" w:cs="Calibri"/>
          <w:color w:val="auto"/>
          <w:sz w:val="22"/>
          <w:szCs w:val="22"/>
          <w:lang w:val="es-PE"/>
        </w:rPr>
        <w:t>’</w:t>
      </w:r>
      <w:r w:rsidR="005F48A5"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  <w:r w:rsidR="005F48A5">
        <w:rPr>
          <w:rFonts w:ascii="Calibri" w:hAnsi="Calibri" w:cs="Calibri"/>
          <w:color w:val="auto"/>
          <w:sz w:val="22"/>
          <w:szCs w:val="22"/>
          <w:lang w:val="es-PE"/>
        </w:rPr>
        <w:t>.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1229E22B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508D637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7FD8671" w14:textId="6BD63DAC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25E38CE1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</w:t>
      </w:r>
      <w:proofErr w:type="gramStart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programa,</w:t>
      </w:r>
      <w:proofErr w:type="gramEnd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</w:t>
      </w:r>
      <w:proofErr w:type="gramStart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de acuerdo a</w:t>
      </w:r>
      <w:proofErr w:type="gramEnd"/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lo establecido </w:t>
      </w:r>
      <w:r w:rsidR="00DD03D4">
        <w:rPr>
          <w:rFonts w:ascii="Calibri" w:hAnsi="Calibri" w:cs="Calibri"/>
          <w:color w:val="auto"/>
          <w:sz w:val="22"/>
          <w:szCs w:val="22"/>
          <w:lang w:val="es-PE"/>
        </w:rPr>
        <w:t>en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6238FD5A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966E9D">
        <w:rPr>
          <w:rFonts w:ascii="Calibri" w:hAnsi="Calibri" w:cs="Calibri"/>
          <w:b/>
          <w:color w:val="auto"/>
          <w:sz w:val="22"/>
          <w:szCs w:val="22"/>
          <w:lang w:val="es-PE"/>
        </w:rPr>
        <w:t>28 de junio de 2023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E57E" w14:textId="77777777" w:rsidR="0038414D" w:rsidRDefault="0038414D" w:rsidP="0050386F">
      <w:r>
        <w:separator/>
      </w:r>
    </w:p>
  </w:endnote>
  <w:endnote w:type="continuationSeparator" w:id="0">
    <w:p w14:paraId="66744360" w14:textId="77777777" w:rsidR="0038414D" w:rsidRDefault="0038414D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4569" w14:textId="77777777" w:rsidR="0038414D" w:rsidRDefault="0038414D" w:rsidP="0050386F">
      <w:r>
        <w:separator/>
      </w:r>
    </w:p>
  </w:footnote>
  <w:footnote w:type="continuationSeparator" w:id="0">
    <w:p w14:paraId="3CA3AFB2" w14:textId="77777777" w:rsidR="0038414D" w:rsidRDefault="0038414D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B0"/>
    <w:rsid w:val="000326BF"/>
    <w:rsid w:val="00042BD6"/>
    <w:rsid w:val="000453B5"/>
    <w:rsid w:val="00077D40"/>
    <w:rsid w:val="000A042C"/>
    <w:rsid w:val="000D2C96"/>
    <w:rsid w:val="001102CE"/>
    <w:rsid w:val="00112F5D"/>
    <w:rsid w:val="001613B8"/>
    <w:rsid w:val="0017750F"/>
    <w:rsid w:val="001C2D69"/>
    <w:rsid w:val="001D5CA7"/>
    <w:rsid w:val="00264516"/>
    <w:rsid w:val="0028105C"/>
    <w:rsid w:val="002C14AA"/>
    <w:rsid w:val="002E7692"/>
    <w:rsid w:val="002F2526"/>
    <w:rsid w:val="003670AC"/>
    <w:rsid w:val="00367661"/>
    <w:rsid w:val="003755FA"/>
    <w:rsid w:val="003837EF"/>
    <w:rsid w:val="0038414D"/>
    <w:rsid w:val="003A5664"/>
    <w:rsid w:val="003B44B5"/>
    <w:rsid w:val="003D3982"/>
    <w:rsid w:val="003E61F3"/>
    <w:rsid w:val="003F7FD2"/>
    <w:rsid w:val="00422A0C"/>
    <w:rsid w:val="00445987"/>
    <w:rsid w:val="0046057C"/>
    <w:rsid w:val="00467965"/>
    <w:rsid w:val="00474C2E"/>
    <w:rsid w:val="004C7119"/>
    <w:rsid w:val="004E7BB2"/>
    <w:rsid w:val="0050386F"/>
    <w:rsid w:val="005136CC"/>
    <w:rsid w:val="00570E29"/>
    <w:rsid w:val="005A0807"/>
    <w:rsid w:val="005D3497"/>
    <w:rsid w:val="005E3A1E"/>
    <w:rsid w:val="005F48A5"/>
    <w:rsid w:val="00602EDE"/>
    <w:rsid w:val="00646D31"/>
    <w:rsid w:val="0065028C"/>
    <w:rsid w:val="00691267"/>
    <w:rsid w:val="006C4132"/>
    <w:rsid w:val="006D5E18"/>
    <w:rsid w:val="007217A9"/>
    <w:rsid w:val="00722179"/>
    <w:rsid w:val="00756641"/>
    <w:rsid w:val="00760A0D"/>
    <w:rsid w:val="007C074E"/>
    <w:rsid w:val="007C08F1"/>
    <w:rsid w:val="007E70A9"/>
    <w:rsid w:val="007F4EE6"/>
    <w:rsid w:val="00807A9E"/>
    <w:rsid w:val="0081159A"/>
    <w:rsid w:val="0081171E"/>
    <w:rsid w:val="00830A32"/>
    <w:rsid w:val="00864643"/>
    <w:rsid w:val="00872AE6"/>
    <w:rsid w:val="008B530F"/>
    <w:rsid w:val="009305AC"/>
    <w:rsid w:val="00936C5D"/>
    <w:rsid w:val="009507B0"/>
    <w:rsid w:val="00950D4E"/>
    <w:rsid w:val="00966E9D"/>
    <w:rsid w:val="009B535C"/>
    <w:rsid w:val="009D2809"/>
    <w:rsid w:val="009D3758"/>
    <w:rsid w:val="009F0442"/>
    <w:rsid w:val="00A01CFF"/>
    <w:rsid w:val="00A300B7"/>
    <w:rsid w:val="00A47B91"/>
    <w:rsid w:val="00A73ED6"/>
    <w:rsid w:val="00A75A7B"/>
    <w:rsid w:val="00AB0275"/>
    <w:rsid w:val="00AD34F8"/>
    <w:rsid w:val="00AD7B50"/>
    <w:rsid w:val="00B0455F"/>
    <w:rsid w:val="00B051D1"/>
    <w:rsid w:val="00B4032F"/>
    <w:rsid w:val="00B71D62"/>
    <w:rsid w:val="00BA20FE"/>
    <w:rsid w:val="00BC7C90"/>
    <w:rsid w:val="00BD523C"/>
    <w:rsid w:val="00C0384F"/>
    <w:rsid w:val="00C06641"/>
    <w:rsid w:val="00C22F6C"/>
    <w:rsid w:val="00C54FE0"/>
    <w:rsid w:val="00C70642"/>
    <w:rsid w:val="00C8734B"/>
    <w:rsid w:val="00CB1390"/>
    <w:rsid w:val="00CD4CBD"/>
    <w:rsid w:val="00D059BE"/>
    <w:rsid w:val="00D73398"/>
    <w:rsid w:val="00D76DBA"/>
    <w:rsid w:val="00D84DAC"/>
    <w:rsid w:val="00D941FB"/>
    <w:rsid w:val="00DB1080"/>
    <w:rsid w:val="00DD03D4"/>
    <w:rsid w:val="00DF2D51"/>
    <w:rsid w:val="00E11738"/>
    <w:rsid w:val="00E50849"/>
    <w:rsid w:val="00E536ED"/>
    <w:rsid w:val="00E75E5E"/>
    <w:rsid w:val="00ED7598"/>
    <w:rsid w:val="00EE68BF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character" w:customStyle="1" w:styleId="normaltextrun">
    <w:name w:val="normaltextrun"/>
    <w:basedOn w:val="Fuentedeprrafopredeter"/>
    <w:rsid w:val="0081171E"/>
  </w:style>
  <w:style w:type="paragraph" w:customStyle="1" w:styleId="Default">
    <w:name w:val="Default"/>
    <w:rsid w:val="00646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3830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Soporte APCI</cp:lastModifiedBy>
  <cp:revision>2</cp:revision>
  <cp:lastPrinted>2022-04-21T20:20:00Z</cp:lastPrinted>
  <dcterms:created xsi:type="dcterms:W3CDTF">2023-06-13T21:05:00Z</dcterms:created>
  <dcterms:modified xsi:type="dcterms:W3CDTF">2023-06-13T21:05:00Z</dcterms:modified>
</cp:coreProperties>
</file>