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3EE" w:rsidRDefault="00C67C57">
      <w:pPr>
        <w:ind w:left="0" w:hanging="2"/>
      </w:pPr>
      <w:bookmarkStart w:id="0" w:name="_GoBack"/>
      <w:bookmarkEnd w:id="0"/>
      <w:r>
        <w:t xml:space="preserve">                        </w:t>
      </w:r>
      <w:r>
        <w:rPr>
          <w:noProof/>
          <w:lang w:val="es-PE" w:eastAsia="es-PE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-346709</wp:posOffset>
            </wp:positionH>
            <wp:positionV relativeFrom="paragraph">
              <wp:posOffset>-509904</wp:posOffset>
            </wp:positionV>
            <wp:extent cx="2226945" cy="13716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3310890</wp:posOffset>
            </wp:positionH>
            <wp:positionV relativeFrom="paragraph">
              <wp:posOffset>-256539</wp:posOffset>
            </wp:positionV>
            <wp:extent cx="2438400" cy="89535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895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33EE" w:rsidRDefault="00B233EE">
      <w:pPr>
        <w:ind w:left="0" w:hanging="2"/>
        <w:jc w:val="center"/>
      </w:pPr>
    </w:p>
    <w:p w:rsidR="00B233EE" w:rsidRDefault="00B233EE">
      <w:pPr>
        <w:ind w:left="0" w:hanging="2"/>
        <w:jc w:val="center"/>
      </w:pPr>
    </w:p>
    <w:p w:rsidR="00B233EE" w:rsidRDefault="00C67C57">
      <w:pPr>
        <w:ind w:left="0" w:hanging="2"/>
      </w:pPr>
      <w:r>
        <w:t xml:space="preserve">                            </w:t>
      </w:r>
    </w:p>
    <w:p w:rsidR="00B233EE" w:rsidRDefault="00C67C57">
      <w:pPr>
        <w:ind w:left="0" w:hanging="2"/>
      </w:pPr>
      <w:r>
        <w:t xml:space="preserve">                         </w:t>
      </w: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CONVOCATORIA DE BECA</w:t>
      </w:r>
    </w:p>
    <w:p w:rsidR="00B233EE" w:rsidRDefault="00B233EE">
      <w:pPr>
        <w:spacing w:after="0"/>
        <w:ind w:left="0" w:hanging="2"/>
        <w:jc w:val="center"/>
        <w:rPr>
          <w:rFonts w:ascii="Arial" w:eastAsia="Arial" w:hAnsi="Arial" w:cs="Arial"/>
        </w:rPr>
      </w:pPr>
    </w:p>
    <w:p w:rsidR="00B233EE" w:rsidRDefault="00C67C57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VI DIPLOMA DE POSTÍTULO EN GESTIÓN, INGENIERÍA Y CIENCIAS PARA LA RESILIENCIA A LOS DESASTRES</w:t>
      </w: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C67C57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EDICIÓN ONLINE </w:t>
      </w:r>
    </w:p>
    <w:p w:rsidR="00B233EE" w:rsidRDefault="00C67C57">
      <w:pPr>
        <w:spacing w:after="0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Desde el 19 de Junio al 13 de Octubre de 2023</w:t>
      </w: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B233EE">
      <w:pPr>
        <w:spacing w:after="0"/>
        <w:ind w:left="1" w:hanging="3"/>
        <w:jc w:val="center"/>
        <w:rPr>
          <w:rFonts w:ascii="Arial" w:eastAsia="Arial" w:hAnsi="Arial" w:cs="Arial"/>
          <w:sz w:val="28"/>
          <w:szCs w:val="28"/>
        </w:rPr>
      </w:pPr>
    </w:p>
    <w:p w:rsidR="00B233EE" w:rsidRDefault="00C67C57">
      <w:pPr>
        <w:spacing w:after="0"/>
        <w:ind w:left="0" w:hanging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Convocatoria Disponible en </w:t>
      </w:r>
      <w:hyperlink r:id="rId10">
        <w:r>
          <w:rPr>
            <w:color w:val="0000FF"/>
            <w:sz w:val="18"/>
            <w:szCs w:val="18"/>
            <w:u w:val="single"/>
          </w:rPr>
          <w:t>https://www.agci.cl</w:t>
        </w:r>
      </w:hyperlink>
    </w:p>
    <w:p w:rsidR="00B233EE" w:rsidRDefault="00C67C57">
      <w:pPr>
        <w:spacing w:after="0"/>
        <w:ind w:left="0" w:hanging="2"/>
        <w:jc w:val="center"/>
        <w:rPr>
          <w:rFonts w:ascii="Arial" w:eastAsia="Arial" w:hAnsi="Arial" w:cs="Arial"/>
          <w:sz w:val="28"/>
          <w:szCs w:val="28"/>
        </w:rPr>
      </w:pPr>
      <w:r>
        <w:rPr>
          <w:sz w:val="18"/>
          <w:szCs w:val="18"/>
        </w:rPr>
        <w:t>Agencia Chilena de Cooperación Internacional para el Desarrollo  │ AGCID</w:t>
      </w:r>
    </w:p>
    <w:p w:rsidR="00B233EE" w:rsidRDefault="00C67C57">
      <w:pPr>
        <w:ind w:left="0" w:hanging="2"/>
        <w:jc w:val="both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ANTECEDENTES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América Latina y el Caribe se caracteriza por ser la segunda región del mundo más propensa a distintos desastres naturales (Oficina de Naciones Unidas para la Coordinación de Asuntos Humanitarios, 2020). Su localización en el denominado “Cinturón de Fuego”</w:t>
      </w:r>
      <w:r>
        <w:rPr>
          <w:rFonts w:ascii="Arial" w:eastAsia="Arial" w:hAnsi="Arial" w:cs="Arial"/>
        </w:rPr>
        <w:t xml:space="preserve"> sumado a las características propias de su geografía, desafían permanentemente las capacidades de los Estados para sobreponerse y ser resilientes a los embates de terremotos, tsunamis, erupciones volcánicas, inundaciones, olas de calor, sequías, huracanes</w:t>
      </w:r>
      <w:r>
        <w:rPr>
          <w:rFonts w:ascii="Arial" w:eastAsia="Arial" w:hAnsi="Arial" w:cs="Arial"/>
        </w:rPr>
        <w:t>, entre otros fenómenos geofísicos.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desastres naturales conllevan amenazas no solo para la vida y la propiedad de las personas, sino que también pueden revertir los avances en materia de desarrollo de las naciones, erosionar la resiliencia y aumentar </w:t>
      </w:r>
      <w:r>
        <w:rPr>
          <w:rFonts w:ascii="Arial" w:eastAsia="Arial" w:hAnsi="Arial" w:cs="Arial"/>
        </w:rPr>
        <w:t>la vulnerabilidad. Es por ello que el Gobierno de Chile, a través de su Agencia Chilena de Cooperación Internacional para el Desarrollo, ha impulsado como uno de los ejes de la cooperación Sur – Sur y Triangular, la formación de capital humano en materia d</w:t>
      </w:r>
      <w:r>
        <w:rPr>
          <w:rFonts w:ascii="Arial" w:eastAsia="Arial" w:hAnsi="Arial" w:cs="Arial"/>
        </w:rPr>
        <w:t xml:space="preserve">e desastres naturales y adaptación al cambio climático.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fin de lograr un futuro mejor y más sostenible para la comunidad de las naciones, AGCID promoverá la implementación de programas académicos alineados con el Marco de Sendai para la Reducción de Ri</w:t>
      </w:r>
      <w:r>
        <w:rPr>
          <w:rFonts w:ascii="Arial" w:eastAsia="Arial" w:hAnsi="Arial" w:cs="Arial"/>
        </w:rPr>
        <w:t>esgo de Desastres y que contribuyan a la Agenda 2030 y sus Objetivos de Desarrollo Sostenible, los cuales se enmarcan en el Programa de Cooperación Sur – Sur y su componente de Becas de Capital Humano.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Diploma de Postítulo “Gestión, Ingeniería y Cienci</w:t>
      </w:r>
      <w:r>
        <w:rPr>
          <w:rFonts w:ascii="Arial" w:eastAsia="Arial" w:hAnsi="Arial" w:cs="Arial"/>
        </w:rPr>
        <w:t>as para la Resiliencia a los Desastres” espera ser una acción concreta de cooperación internacional que contribuya a la creación de conocimientos que fortalezcan las capacidades profesionales, institucionales y de la política pública para avanzar hacia com</w:t>
      </w:r>
      <w:r>
        <w:rPr>
          <w:rFonts w:ascii="Arial" w:eastAsia="Arial" w:hAnsi="Arial" w:cs="Arial"/>
        </w:rPr>
        <w:t>unidades más preparadas y más resilientes a los desastres naturales.</w:t>
      </w:r>
    </w:p>
    <w:p w:rsidR="00B233EE" w:rsidRDefault="00C67C57">
      <w:pPr>
        <w:spacing w:after="0"/>
        <w:ind w:left="0" w:hanging="2"/>
        <w:rPr>
          <w:rFonts w:ascii="Arial" w:eastAsia="Arial" w:hAnsi="Arial" w:cs="Arial"/>
        </w:rPr>
      </w:pPr>
      <w:r>
        <w:br w:type="page"/>
      </w:r>
      <w:r>
        <w:rPr>
          <w:rFonts w:ascii="Arial" w:eastAsia="Arial" w:hAnsi="Arial" w:cs="Arial"/>
          <w:b/>
        </w:rPr>
        <w:lastRenderedPageBreak/>
        <w:t>INFORMACIÓN GENERAL (G.I.)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NOMBRE DEL PROGRAMA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Diploma de Postítulo en Gestión, Ingeniería y Ciencias para la Resiliencia a los Desastres (en adelante “Diploma”). Este programa académico será impartido en modalidad Online por la Facultad de Ciencias Físicas y Matemáticas de la Universidad de Chile.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</w:t>
      </w:r>
      <w:r>
        <w:rPr>
          <w:rFonts w:ascii="Arial" w:eastAsia="Arial" w:hAnsi="Arial" w:cs="Arial"/>
          <w:b/>
        </w:rPr>
        <w:t>TA SUPERIOR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Fortalecer conocimientos en reducción de riesgo de desastres.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 DEL DIPLOMA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  <w:bookmarkStart w:id="1" w:name="_heading=h.gjdgxs" w:colFirst="0" w:colLast="0"/>
      <w:bookmarkEnd w:id="1"/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Entregar a alumnos de Latinoamérica y el Caribe conocimientos avanzados, herramientas de las ingenierías y últimos antecedentes científico-tecnológicos a actores involucrados en la reducción del riesgo de desastres para que puedan concebir, diseñar, implem</w:t>
      </w:r>
      <w:r>
        <w:rPr>
          <w:rFonts w:ascii="Arial" w:eastAsia="Arial" w:hAnsi="Arial" w:cs="Arial"/>
        </w:rPr>
        <w:t>entar, operar y evaluar proyectos que contribuyan a la reducción del riesgo de desastres socionaturales y a la resiliencia.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RESULTADOS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Al finalizar el Diploma los participantes adquirirán las siguientes competencias: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B233EE" w:rsidRDefault="00C67C57">
      <w:pPr>
        <w:numPr>
          <w:ilvl w:val="0"/>
          <w:numId w:val="1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Comprender el marco conceptual, no</w:t>
      </w:r>
      <w:r>
        <w:rPr>
          <w:rFonts w:ascii="Arial" w:eastAsia="Arial" w:hAnsi="Arial" w:cs="Arial"/>
        </w:rPr>
        <w:t>rmativo y funcional de la gestión del riesgo en Chile y países del contexto andino, según los lineamientos consensuados a nivel nacional e internacional.</w:t>
      </w:r>
    </w:p>
    <w:p w:rsidR="00B233EE" w:rsidRDefault="00C67C57">
      <w:pPr>
        <w:numPr>
          <w:ilvl w:val="0"/>
          <w:numId w:val="1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Adquirir y profundizar conocimientos de geofísica y geología aplicados a la caracterización de las pri</w:t>
      </w:r>
      <w:r>
        <w:rPr>
          <w:rFonts w:ascii="Arial" w:eastAsia="Arial" w:hAnsi="Arial" w:cs="Arial"/>
        </w:rPr>
        <w:t xml:space="preserve">ncipales amenazas naturales a que los países emplazados en el contexto andino están expuestos, y sus diferentes escalas espaciales que van del nivel local, regional, nacional y continental. </w:t>
      </w:r>
    </w:p>
    <w:p w:rsidR="00B233EE" w:rsidRDefault="00C67C57">
      <w:pPr>
        <w:numPr>
          <w:ilvl w:val="0"/>
          <w:numId w:val="1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Adquirir herramientas de gestión pública con un enfoque particula</w:t>
      </w:r>
      <w:r>
        <w:rPr>
          <w:rFonts w:ascii="Arial" w:eastAsia="Arial" w:hAnsi="Arial" w:cs="Arial"/>
        </w:rPr>
        <w:t xml:space="preserve">r en proyectos de prevención y reducción de riesgos de desastre. </w:t>
      </w:r>
    </w:p>
    <w:p w:rsidR="00B233EE" w:rsidRDefault="00C67C57">
      <w:pPr>
        <w:numPr>
          <w:ilvl w:val="0"/>
          <w:numId w:val="1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Disponer, interpretar y aplicar los últimos antecedentes científicos y las nuevas tecnologías disponibles para la prevención, mitigación y resiliencia ante desastres, incorporando una visión</w:t>
      </w:r>
      <w:r>
        <w:rPr>
          <w:rFonts w:ascii="Arial" w:eastAsia="Arial" w:hAnsi="Arial" w:cs="Arial"/>
        </w:rPr>
        <w:t xml:space="preserve"> moderna e interdisciplinaria. </w:t>
      </w:r>
    </w:p>
    <w:p w:rsidR="00B233EE" w:rsidRDefault="00C67C57">
      <w:pPr>
        <w:numPr>
          <w:ilvl w:val="0"/>
          <w:numId w:val="1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Comprender el estado del arte de las TIC’s y las ingenierías de la información en relación con sistemas resilientes. </w:t>
      </w:r>
    </w:p>
    <w:p w:rsidR="00B233EE" w:rsidRDefault="00C67C57">
      <w:pPr>
        <w:numPr>
          <w:ilvl w:val="0"/>
          <w:numId w:val="1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Conocer y poder operar las herramientas estructurales, financieras y de planificación territorial para la </w:t>
      </w:r>
      <w:r>
        <w:rPr>
          <w:rFonts w:ascii="Arial" w:eastAsia="Arial" w:hAnsi="Arial" w:cs="Arial"/>
        </w:rPr>
        <w:t xml:space="preserve">mitigación de impacto de desastres. </w:t>
      </w:r>
    </w:p>
    <w:p w:rsidR="00B233EE" w:rsidRDefault="00C67C57">
      <w:pPr>
        <w:numPr>
          <w:ilvl w:val="0"/>
          <w:numId w:val="1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Participar en la preparación, la prevención y la resiliencia del país ante desastre, contribuyendo en la reducción del riesgo de desastres.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DESCRIPCIÓN PROGRAMA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continuación, se presenta una breve puntualización de</w:t>
      </w:r>
      <w:r>
        <w:rPr>
          <w:rFonts w:ascii="Arial" w:eastAsia="Arial" w:hAnsi="Arial" w:cs="Arial"/>
        </w:rPr>
        <w:t xml:space="preserve"> los contenidos de cada módulo que conforman el Diploma: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Módulo 1: Avances conceptuales y normativas sobre riesgo de desastres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Introducción al Diplomado </w:t>
      </w:r>
    </w:p>
    <w:p w:rsidR="00B233EE" w:rsidRDefault="00C67C57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Marco teórico-conceptual</w:t>
      </w:r>
    </w:p>
    <w:p w:rsidR="00B233EE" w:rsidRDefault="00C67C57">
      <w:pPr>
        <w:numPr>
          <w:ilvl w:val="1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Fundamentos y modificaciones del marco teórico-conceptual</w:t>
      </w:r>
    </w:p>
    <w:p w:rsidR="00B233EE" w:rsidRDefault="00C67C57">
      <w:pPr>
        <w:numPr>
          <w:ilvl w:val="1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construcción social del riesgo</w:t>
      </w:r>
    </w:p>
    <w:p w:rsidR="00B233EE" w:rsidRDefault="00C67C57">
      <w:pPr>
        <w:numPr>
          <w:ilvl w:val="1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Prácticas internacionales en el marco de la resiliencia</w:t>
      </w:r>
    </w:p>
    <w:p w:rsidR="00B233EE" w:rsidRDefault="00C67C57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Marco funcional y normativo internacional de la reducción de riesgos de desastres</w:t>
      </w:r>
    </w:p>
    <w:p w:rsidR="00B233EE" w:rsidRDefault="00C67C57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Responsabilidad del Estado frente a los riesgos socionatuales</w:t>
      </w:r>
    </w:p>
    <w:p w:rsidR="00B233EE" w:rsidRDefault="00C67C57">
      <w:pPr>
        <w:numPr>
          <w:ilvl w:val="0"/>
          <w:numId w:val="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Aplicación a un caso d</w:t>
      </w:r>
      <w:r>
        <w:rPr>
          <w:rFonts w:ascii="Arial" w:eastAsia="Arial" w:hAnsi="Arial" w:cs="Arial"/>
        </w:rPr>
        <w:t>e estudio en el marco del Taller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Módulo 2: Nuevos antecedentes sobre amenazas naturales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Introducción: Nuevos antecedentes sobre amenazas naturales 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contexto andino y las geoamenazas 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Avances en la comprensión de los procesos geofísicos de las geoamena</w:t>
      </w:r>
      <w:r>
        <w:rPr>
          <w:rFonts w:ascii="Arial" w:eastAsia="Arial" w:hAnsi="Arial" w:cs="Arial"/>
        </w:rPr>
        <w:t>zas</w:t>
      </w: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Peligro sísmico y de tsunami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Taxonomía de terremotos y tsunamis 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Dimensión preventiva y reactiva de la amenaza sísmica</w:t>
      </w: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Peligro volcánico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Volcanismo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Volcanismo y peligro volcánico</w:t>
      </w: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Fallas geológicas y peligros asociados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Fallas geológicas y remociones en masa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Visión espacio temporal de los peligros geológicos</w:t>
      </w:r>
    </w:p>
    <w:p w:rsidR="00B233EE" w:rsidRDefault="00C67C57">
      <w:pPr>
        <w:numPr>
          <w:ilvl w:val="1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Métodos geofísicos utilizados para el estudio de fallas geológicas</w:t>
      </w: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Herramientas de mapeo y uso de información</w:t>
      </w: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Peligros climáticos e hidro-meteorológicos</w:t>
      </w: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Otras amenazas: la contaminación atmosférica</w:t>
      </w:r>
    </w:p>
    <w:p w:rsidR="00B233EE" w:rsidRDefault="00C67C57">
      <w:pPr>
        <w:numPr>
          <w:ilvl w:val="0"/>
          <w:numId w:val="2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Aplicación a un caso de estudio en el marco del Taller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Módulo 3: La reducción de riesgos a través de la gestión pública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4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Marco de la gestión pública y los sistemas complejos</w:t>
      </w:r>
    </w:p>
    <w:p w:rsidR="00B233EE" w:rsidRDefault="00C67C57">
      <w:pPr>
        <w:numPr>
          <w:ilvl w:val="0"/>
          <w:numId w:val="4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Herramientas de la gestión pública p</w:t>
      </w:r>
      <w:r>
        <w:rPr>
          <w:rFonts w:ascii="Arial" w:eastAsia="Arial" w:hAnsi="Arial" w:cs="Arial"/>
        </w:rPr>
        <w:t>ara la evaluación/implementación de proyectos.</w:t>
      </w:r>
    </w:p>
    <w:p w:rsidR="00B233EE" w:rsidRDefault="00C67C57">
      <w:pPr>
        <w:numPr>
          <w:ilvl w:val="0"/>
          <w:numId w:val="4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Herramientas de la gestión pública aplicables para la reducción del riesgo de desastres.</w:t>
      </w:r>
    </w:p>
    <w:p w:rsidR="00B233EE" w:rsidRDefault="00C67C57">
      <w:pPr>
        <w:numPr>
          <w:ilvl w:val="0"/>
          <w:numId w:val="4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Aplicación a un caso de estudio en el marco del Taller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Módulo 4: Vanguardia tecnológica para la resiliencia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Introducci</w:t>
      </w:r>
      <w:r>
        <w:rPr>
          <w:rFonts w:ascii="Arial" w:eastAsia="Arial" w:hAnsi="Arial" w:cs="Arial"/>
        </w:rPr>
        <w:t>ón al módulo</w:t>
      </w:r>
    </w:p>
    <w:p w:rsidR="00B233EE" w:rsidRDefault="00C67C57">
      <w:pPr>
        <w:numPr>
          <w:ilvl w:val="0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Minería de Datos para el manejo de desastres</w:t>
      </w:r>
    </w:p>
    <w:p w:rsidR="00B233EE" w:rsidRDefault="00C67C57">
      <w:pPr>
        <w:numPr>
          <w:ilvl w:val="1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Calidad de datos para la minería de datos en la Web</w:t>
      </w:r>
    </w:p>
    <w:p w:rsidR="00B233EE" w:rsidRDefault="00C67C57">
      <w:pPr>
        <w:numPr>
          <w:ilvl w:val="1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Aplicación de la minería de datos para el manejo de desastre</w:t>
      </w:r>
    </w:p>
    <w:p w:rsidR="00B233EE" w:rsidRDefault="00C67C57">
      <w:pPr>
        <w:numPr>
          <w:ilvl w:val="0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Tecnologías de la información y comunicación a la hora del Internet de las Cosas </w:t>
      </w:r>
    </w:p>
    <w:p w:rsidR="00B233EE" w:rsidRDefault="00C67C57">
      <w:pPr>
        <w:numPr>
          <w:ilvl w:val="1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Deb</w:t>
      </w:r>
      <w:r>
        <w:rPr>
          <w:rFonts w:ascii="Arial" w:eastAsia="Arial" w:hAnsi="Arial" w:cs="Arial"/>
        </w:rPr>
        <w:t>ilidades de los sistemas de telecomunicaciones</w:t>
      </w:r>
    </w:p>
    <w:p w:rsidR="00B233EE" w:rsidRDefault="00C67C57">
      <w:pPr>
        <w:numPr>
          <w:ilvl w:val="1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 de las Cosas</w:t>
      </w:r>
    </w:p>
    <w:p w:rsidR="00B233EE" w:rsidRDefault="00C67C57">
      <w:pPr>
        <w:numPr>
          <w:ilvl w:val="0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Fragilidad y resiliencia en los sistemas energéticos</w:t>
      </w:r>
    </w:p>
    <w:p w:rsidR="00B233EE" w:rsidRDefault="00C67C57">
      <w:pPr>
        <w:numPr>
          <w:ilvl w:val="1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Resiliencia de los sistemas energéticos - Marco Teórico</w:t>
      </w:r>
    </w:p>
    <w:p w:rsidR="00B233EE" w:rsidRDefault="00C67C57">
      <w:pPr>
        <w:numPr>
          <w:ilvl w:val="1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Resiliencia de los Sistemas de Distribución</w:t>
      </w:r>
    </w:p>
    <w:p w:rsidR="00B233EE" w:rsidRDefault="00C67C57">
      <w:pPr>
        <w:numPr>
          <w:ilvl w:val="1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Herramientas matemáticas para el estudio de la resiliencia en sistemas energéticos</w:t>
      </w:r>
    </w:p>
    <w:p w:rsidR="00B233EE" w:rsidRDefault="00C67C57">
      <w:pPr>
        <w:numPr>
          <w:ilvl w:val="0"/>
          <w:numId w:val="5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Aplicación a un caso de estudio en el marco del Taller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Módulo 5: Mitigación de desastres y preparación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Introducción al módulo</w:t>
      </w: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Medidas estructurales de mitigación desde la </w:t>
      </w:r>
      <w:r>
        <w:rPr>
          <w:rFonts w:ascii="Arial" w:eastAsia="Arial" w:hAnsi="Arial" w:cs="Arial"/>
        </w:rPr>
        <w:t>ingeniería civil</w:t>
      </w: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ordenamiento y la planificación territorial para la reducción del riesgo de desastres</w:t>
      </w: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Transferencia del riesgo financiero</w:t>
      </w: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Sistemas de alerta temprana para la gestión de la contingencia </w:t>
      </w: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Resiliencia urbana</w:t>
      </w: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Aplicación a un caso de estudio</w:t>
      </w:r>
      <w:r>
        <w:rPr>
          <w:rFonts w:ascii="Arial" w:eastAsia="Arial" w:hAnsi="Arial" w:cs="Arial"/>
        </w:rPr>
        <w:t xml:space="preserve"> en el marco del Taller</w:t>
      </w:r>
    </w:p>
    <w:p w:rsidR="00B233EE" w:rsidRDefault="00C67C57">
      <w:pPr>
        <w:numPr>
          <w:ilvl w:val="0"/>
          <w:numId w:val="6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Cierre del Taller y evaluaciones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DURACIÓN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Diploma se implementa en el año 2023 y se realizará en modalidad 100% ONLINE, con una duración de dieciséis (16) semanas. La modalidad del programa será no presencial y requiere dedica</w:t>
      </w:r>
      <w:r>
        <w:rPr>
          <w:rFonts w:ascii="Arial" w:eastAsia="Arial" w:hAnsi="Arial" w:cs="Arial"/>
        </w:rPr>
        <w:t>ción de 9 horas a la semana (sesiones de 3 horas cada una, 3 veces a la semana).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 edición del Diploma se realizará desde el 19 de junio al 13 de octubre de 2023.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METODOLOGÍA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presente edición del Diploma de Postítulo se impartirá en una modalidad ONLINE, fundada en una metodología interactiva y participativa. Las clases lectivas y conferencias </w:t>
      </w:r>
      <w:r>
        <w:rPr>
          <w:rFonts w:ascii="Arial" w:eastAsia="Arial" w:hAnsi="Arial" w:cs="Arial"/>
        </w:rPr>
        <w:lastRenderedPageBreak/>
        <w:t>magistrales serán dictadas de manera on-line sincrónico (vía streaming). Se requer</w:t>
      </w:r>
      <w:r>
        <w:rPr>
          <w:rFonts w:ascii="Arial" w:eastAsia="Arial" w:hAnsi="Arial" w:cs="Arial"/>
        </w:rPr>
        <w:t>irá que los estudiantes ingresen a la Sala Virtual de Clases los días lunes, miércoles y viernes desde las 16:00 hasta las 19:30 (Hora Chilena).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IDIOMA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Diploma se realizará en idioma español en su totalidad.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FINANCIAMIENTO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Programa financiará</w:t>
      </w:r>
      <w:r>
        <w:rPr>
          <w:rFonts w:ascii="Arial" w:eastAsia="Arial" w:hAnsi="Arial" w:cs="Arial"/>
          <w:vertAlign w:val="superscript"/>
        </w:rPr>
        <w:footnoteReference w:id="1"/>
      </w:r>
      <w:r>
        <w:rPr>
          <w:rFonts w:ascii="Arial" w:eastAsia="Arial" w:hAnsi="Arial" w:cs="Arial"/>
        </w:rPr>
        <w:t>: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 xml:space="preserve"> </w:t>
      </w:r>
    </w:p>
    <w:p w:rsidR="00B233EE" w:rsidRDefault="00C67C57">
      <w:pPr>
        <w:numPr>
          <w:ilvl w:val="0"/>
          <w:numId w:val="11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Costos de matrícula y arancel del programa.</w:t>
      </w:r>
    </w:p>
    <w:p w:rsidR="00B233EE" w:rsidRDefault="00C67C5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Diploma de Postítulo en Gestión, Ingeniería y Ciencias para la Resiliencia a los Desastres, certificado por la Facultad de Ciencias Físicas y Matemáticas de la Universidad de Chile. </w:t>
      </w:r>
    </w:p>
    <w:p w:rsidR="00B233EE" w:rsidRDefault="00B233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REQUISITOS PARA POSTULAR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Diploma está dirigido principalmente a personas que cumplan con los siguientes requisitos: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Funcionarios públicos con un perfil directivo del sistema de gestión del riesgo de desastres y tomadores de decisión en la materia.</w:t>
      </w: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deseable que se desempeñ</w:t>
      </w:r>
      <w:r>
        <w:rPr>
          <w:rFonts w:ascii="Arial" w:eastAsia="Arial" w:hAnsi="Arial" w:cs="Arial"/>
        </w:rPr>
        <w:t>en en instituciones de relevancia en materia de reducción de riego de desastres o que, en su defecto, cuente con el patrocino de una institución con la cual presente vínculos académicos y/o laborales.</w:t>
      </w: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Poseer título profesional, preferentemente en las áreas</w:t>
      </w:r>
      <w:r>
        <w:rPr>
          <w:rFonts w:ascii="Arial" w:eastAsia="Arial" w:hAnsi="Arial" w:cs="Arial"/>
        </w:rPr>
        <w:t xml:space="preserve"> de Ingenierías, Administración pública, Ciencias o Gestión; y que cuenten con una experiencia profesional de al menos 2 años en proyectos relacionados con los riesgos de desastres socionaturales.</w:t>
      </w: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 de aceptación del Diploma, la cual debe ser tramitada</w:t>
      </w:r>
      <w:r>
        <w:rPr>
          <w:rFonts w:ascii="Arial" w:eastAsia="Arial" w:hAnsi="Arial" w:cs="Arial"/>
        </w:rPr>
        <w:t xml:space="preserve"> directamente por el interesado ante la Universidad de Chile.</w:t>
      </w: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Ser designados por sus respectivos gobiernos de conformidad con el procedimiento indicado en la Información General (G.I.) del Curso, párrafo XIII: Proceso de postulación. </w:t>
      </w: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Contar con acceso a r</w:t>
      </w:r>
      <w:r>
        <w:rPr>
          <w:rFonts w:ascii="Arial" w:eastAsia="Arial" w:hAnsi="Arial" w:cs="Arial"/>
        </w:rPr>
        <w:t>ed internet al menos 9 horas semanales para desarrollo de clases On – Line</w:t>
      </w: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Presentar salud física y mental compatible con las actividades del Diplomado. </w:t>
      </w:r>
    </w:p>
    <w:p w:rsidR="00B233EE" w:rsidRDefault="00C67C57">
      <w:pPr>
        <w:numPr>
          <w:ilvl w:val="0"/>
          <w:numId w:val="9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Ser ciudadano del país convocado y poseer residencia en el mismo.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PAÍSES Y/U ORGANIZACIONES INVITAD</w:t>
      </w:r>
      <w:r>
        <w:rPr>
          <w:rFonts w:ascii="Arial" w:eastAsia="Arial" w:hAnsi="Arial" w:cs="Arial"/>
          <w:b/>
        </w:rPr>
        <w:t xml:space="preserve">AS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Los gobiernos de los siguientes países y regiones serán invitados a nominar postulantes para el Diploma: </w:t>
      </w:r>
      <w:r>
        <w:rPr>
          <w:rFonts w:ascii="Arial" w:eastAsia="Arial" w:hAnsi="Arial" w:cs="Arial"/>
          <w:b/>
        </w:rPr>
        <w:t>Argentina, Bolivia, Brasil, Colombia, Costa Rica, Cuba, Ecuador, El Salvador, Guatemala, Haití, Honduras, México, Panamá, Paraguay, Perú, Repúblic</w:t>
      </w:r>
      <w:r>
        <w:rPr>
          <w:rFonts w:ascii="Arial" w:eastAsia="Arial" w:hAnsi="Arial" w:cs="Arial"/>
          <w:b/>
        </w:rPr>
        <w:t xml:space="preserve">a Dominicana, Uruguay y países miembros del CARICOM.  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</w:t>
      </w: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NÚMERO TOTAL DE PARTICIPANTES: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número total de participantes de los países invitados no excederá de 25 en total, no existe un cupo preestablecido por país.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PROCESO DE POSTULACIÓN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candidatos deben entregar su postulación con el registro de toda la información solicitada impresa en original y respaldada en CD (copia íntegra de su postulación incluyendo firmas y timbres respectivos) en el Punto Focal de su país de origen (Anexo VI</w:t>
      </w:r>
      <w:r>
        <w:rPr>
          <w:rFonts w:ascii="Arial" w:eastAsia="Arial" w:hAnsi="Arial" w:cs="Arial"/>
        </w:rPr>
        <w:t>) para la oficialización correspondiente. Los documentos que se deben presentar son los siguientes:</w:t>
      </w:r>
    </w:p>
    <w:p w:rsidR="00B233EE" w:rsidRDefault="00C67C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Formulario de postulación (Anexo I), con el registro de toda la información solicitada, debidamente llenado y firmado tanto por el postulante como por la má</w:t>
      </w:r>
      <w:r>
        <w:rPr>
          <w:rFonts w:ascii="Arial" w:eastAsia="Arial" w:hAnsi="Arial" w:cs="Arial"/>
          <w:color w:val="000000"/>
        </w:rPr>
        <w:t xml:space="preserve">xima autoridad de la institución patrocinadora. </w:t>
      </w:r>
    </w:p>
    <w:p w:rsidR="00B233EE" w:rsidRDefault="00C67C57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color w:val="000000"/>
        </w:rPr>
        <w:t>Carta de aceptación al programa, emitida por la Universidad de Chile. Mayor información sobre este proceso en el sitio:</w:t>
      </w:r>
      <w:r>
        <w:rPr>
          <w:color w:val="000000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u w:val="single"/>
          </w:rPr>
          <w:t>http://uchile.cl/i150872</w:t>
        </w:r>
      </w:hyperlink>
      <w:r>
        <w:rPr>
          <w:rFonts w:ascii="Arial" w:eastAsia="Arial" w:hAnsi="Arial" w:cs="Arial"/>
          <w:color w:val="000000"/>
          <w:vertAlign w:val="superscript"/>
        </w:rPr>
        <w:footnoteReference w:id="2"/>
      </w:r>
      <w:r>
        <w:rPr>
          <w:rFonts w:ascii="Arial" w:eastAsia="Arial" w:hAnsi="Arial" w:cs="Arial"/>
          <w:color w:val="000000"/>
        </w:rPr>
        <w:t>.</w:t>
      </w:r>
    </w:p>
    <w:p w:rsidR="00B233EE" w:rsidRDefault="00C67C57">
      <w:pPr>
        <w:numPr>
          <w:ilvl w:val="0"/>
          <w:numId w:val="10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 de compromiso (Anexo II).</w:t>
      </w:r>
    </w:p>
    <w:p w:rsidR="00B233EE" w:rsidRDefault="00C67C57">
      <w:pPr>
        <w:numPr>
          <w:ilvl w:val="0"/>
          <w:numId w:val="10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Reporte inicial de proyecto (Anexo III).</w:t>
      </w:r>
    </w:p>
    <w:p w:rsidR="00B233EE" w:rsidRDefault="00C67C57">
      <w:pPr>
        <w:numPr>
          <w:ilvl w:val="0"/>
          <w:numId w:val="10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Certificado laboral (Anexo IV)</w:t>
      </w:r>
    </w:p>
    <w:p w:rsidR="00B233EE" w:rsidRDefault="00C67C57">
      <w:pPr>
        <w:numPr>
          <w:ilvl w:val="0"/>
          <w:numId w:val="10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Carta de compromiso institucional (Anexo V)</w:t>
      </w:r>
    </w:p>
    <w:p w:rsidR="00B233EE" w:rsidRDefault="00C67C57">
      <w:pPr>
        <w:numPr>
          <w:ilvl w:val="0"/>
          <w:numId w:val="10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Postulantes que no sean de habla hispana deberán presentar una acreditación de manejo de idioma tal como: ce</w:t>
      </w:r>
      <w:r>
        <w:rPr>
          <w:rFonts w:ascii="Arial" w:eastAsia="Arial" w:hAnsi="Arial" w:cs="Arial"/>
        </w:rPr>
        <w:t xml:space="preserve">rtificación mediante examen internacional, copia de título universitario en caso de haber cursado estudios de pregrado o postgrado en un país de habla hispana, carta de confirmación de la Embajada de Chile en el país. </w:t>
      </w:r>
    </w:p>
    <w:p w:rsidR="00B233EE" w:rsidRDefault="00B233E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  <w:highlight w:val="yellow"/>
        </w:rPr>
      </w:pPr>
    </w:p>
    <w:p w:rsidR="00B233EE" w:rsidRDefault="00C67C57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La presente convocatoria del Diploma tendrá las siguientes etapas y fechas referenciales de postulación:</w:t>
      </w:r>
    </w:p>
    <w:tbl>
      <w:tblPr>
        <w:tblStyle w:val="a"/>
        <w:tblW w:w="789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2967"/>
      </w:tblGrid>
      <w:tr w:rsidR="00B233EE">
        <w:trPr>
          <w:trHeight w:val="423"/>
          <w:jc w:val="center"/>
        </w:trPr>
        <w:tc>
          <w:tcPr>
            <w:tcW w:w="4932" w:type="dxa"/>
            <w:shd w:val="clear" w:color="auto" w:fill="000000"/>
            <w:vAlign w:val="center"/>
          </w:tcPr>
          <w:p w:rsidR="00B233EE" w:rsidRDefault="00C67C57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Etapa</w:t>
            </w:r>
          </w:p>
        </w:tc>
        <w:tc>
          <w:tcPr>
            <w:tcW w:w="2967" w:type="dxa"/>
            <w:shd w:val="clear" w:color="auto" w:fill="000000"/>
            <w:vAlign w:val="center"/>
          </w:tcPr>
          <w:p w:rsidR="00B233EE" w:rsidRDefault="00C67C57">
            <w:pPr>
              <w:ind w:left="0" w:hanging="2"/>
              <w:jc w:val="center"/>
              <w:rPr>
                <w:rFonts w:ascii="Arial" w:eastAsia="Arial" w:hAnsi="Arial" w:cs="Arial"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Fechas</w:t>
            </w:r>
          </w:p>
        </w:tc>
      </w:tr>
      <w:tr w:rsidR="00B233EE">
        <w:trPr>
          <w:trHeight w:val="454"/>
          <w:jc w:val="center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233EE" w:rsidRDefault="00C67C5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Apertura de la convocatoria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3EE" w:rsidRDefault="00C67C5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  <w:r>
              <w:rPr>
                <w:rFonts w:ascii="Arial" w:eastAsia="Arial" w:hAnsi="Arial" w:cs="Arial"/>
              </w:rPr>
              <w:t xml:space="preserve"> de diciembre de 2022</w:t>
            </w:r>
          </w:p>
        </w:tc>
      </w:tr>
      <w:tr w:rsidR="00B233EE">
        <w:trPr>
          <w:trHeight w:val="342"/>
          <w:jc w:val="center"/>
        </w:trPr>
        <w:tc>
          <w:tcPr>
            <w:tcW w:w="4932" w:type="dxa"/>
            <w:vAlign w:val="center"/>
          </w:tcPr>
          <w:p w:rsidR="00B233EE" w:rsidRDefault="00C67C5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Cierre de la convocatoria </w:t>
            </w:r>
            <w:r>
              <w:rPr>
                <w:rFonts w:ascii="Arial" w:eastAsia="Arial" w:hAnsi="Arial" w:cs="Arial"/>
                <w:i/>
              </w:rPr>
              <w:t>(para postulantes)</w:t>
            </w:r>
          </w:p>
        </w:tc>
        <w:tc>
          <w:tcPr>
            <w:tcW w:w="2967" w:type="dxa"/>
            <w:vAlign w:val="center"/>
          </w:tcPr>
          <w:p w:rsidR="00B233EE" w:rsidRDefault="00C67C5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 de mayo de 2023</w:t>
            </w:r>
          </w:p>
        </w:tc>
      </w:tr>
      <w:tr w:rsidR="00B233EE">
        <w:trPr>
          <w:trHeight w:val="857"/>
          <w:jc w:val="center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233EE" w:rsidRDefault="00C67C5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Preselección de candidatos e ingreso de postulación a Plataforma de Beca </w:t>
            </w:r>
            <w:r>
              <w:rPr>
                <w:rFonts w:ascii="Arial" w:eastAsia="Arial" w:hAnsi="Arial" w:cs="Arial"/>
                <w:i/>
              </w:rPr>
              <w:t>(para Punto Focal)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3EE" w:rsidRDefault="00C67C5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 de mayo de 2023</w:t>
            </w:r>
          </w:p>
        </w:tc>
      </w:tr>
      <w:tr w:rsidR="00B233EE">
        <w:trPr>
          <w:trHeight w:val="454"/>
          <w:jc w:val="center"/>
        </w:trPr>
        <w:tc>
          <w:tcPr>
            <w:tcW w:w="4932" w:type="dxa"/>
            <w:vAlign w:val="center"/>
          </w:tcPr>
          <w:p w:rsidR="00B233EE" w:rsidRDefault="00C67C5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Comité de Selección</w:t>
            </w:r>
          </w:p>
        </w:tc>
        <w:tc>
          <w:tcPr>
            <w:tcW w:w="2967" w:type="dxa"/>
            <w:vAlign w:val="center"/>
          </w:tcPr>
          <w:p w:rsidR="00B233EE" w:rsidRDefault="00C67C5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 de mayo al 02 de junio de 2023</w:t>
            </w:r>
          </w:p>
        </w:tc>
      </w:tr>
      <w:tr w:rsidR="00B233EE">
        <w:trPr>
          <w:trHeight w:val="496"/>
          <w:jc w:val="center"/>
        </w:trPr>
        <w:tc>
          <w:tcPr>
            <w:tcW w:w="4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B233EE" w:rsidRDefault="00C67C57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Publicación de resultados y notificación a seleccionados</w:t>
            </w:r>
          </w:p>
        </w:tc>
        <w:tc>
          <w:tcPr>
            <w:tcW w:w="296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33EE" w:rsidRDefault="00C67C57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05 de junio de 2023</w:t>
            </w:r>
          </w:p>
        </w:tc>
      </w:tr>
    </w:tbl>
    <w:p w:rsidR="00B233EE" w:rsidRDefault="00B233EE">
      <w:pPr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fecha final de recepción de postulaciones a la beca vence impostergablemente el </w:t>
      </w:r>
      <w:r>
        <w:rPr>
          <w:rFonts w:ascii="Arial" w:eastAsia="Arial" w:hAnsi="Arial" w:cs="Arial"/>
          <w:b/>
          <w:u w:val="single"/>
        </w:rPr>
        <w:t>19 de mayo de 2023 (para postulantes).</w:t>
      </w:r>
      <w:r>
        <w:rPr>
          <w:rFonts w:ascii="Arial" w:eastAsia="Arial" w:hAnsi="Arial" w:cs="Arial"/>
        </w:rPr>
        <w:t xml:space="preserve"> La fecha de cierre de la presente convocatoria para los postulantes será confirmada por el Punto Focal de cada país, </w:t>
      </w:r>
      <w:r>
        <w:rPr>
          <w:rFonts w:ascii="Arial" w:eastAsia="Arial" w:hAnsi="Arial" w:cs="Arial"/>
          <w:b/>
          <w:u w:val="single"/>
        </w:rPr>
        <w:t>pudiendo eventual</w:t>
      </w:r>
      <w:r>
        <w:rPr>
          <w:rFonts w:ascii="Arial" w:eastAsia="Arial" w:hAnsi="Arial" w:cs="Arial"/>
          <w:b/>
          <w:u w:val="single"/>
        </w:rPr>
        <w:t>mente ser anterior a la indicada por AGCID</w:t>
      </w:r>
      <w:r>
        <w:rPr>
          <w:rFonts w:ascii="Arial" w:eastAsia="Arial" w:hAnsi="Arial" w:cs="Arial"/>
        </w:rPr>
        <w:t>.  Por ello, el plazo deberá ser confirmado por el/la interesado/a directamente con el Punto Focal de su país (informados en el Anexo VI). No se considerarán postulaciones que no hayan sido presentadas por el Punto</w:t>
      </w:r>
      <w:r>
        <w:rPr>
          <w:rFonts w:ascii="Arial" w:eastAsia="Arial" w:hAnsi="Arial" w:cs="Arial"/>
        </w:rPr>
        <w:t xml:space="preserve"> Focal.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  <w:highlight w:val="yellow"/>
        </w:rPr>
      </w:pPr>
    </w:p>
    <w:p w:rsidR="00B233EE" w:rsidRDefault="00C67C57">
      <w:pPr>
        <w:spacing w:after="0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 CONSIDERAR: </w:t>
      </w:r>
    </w:p>
    <w:p w:rsidR="00B233EE" w:rsidRDefault="00B233EE">
      <w:pPr>
        <w:spacing w:after="0"/>
        <w:ind w:left="0" w:hanging="2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 se cursará ninguna postulación incompleta, ilegible o fuera de plazo.</w:t>
      </w:r>
    </w:p>
    <w:p w:rsidR="00B233EE" w:rsidRDefault="00C67C57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Sólo se evaluarán postulaciones remitidas oficialmente por el Punto Focal. No se considerará ninguna postulación remitida directamente por el postulante, aun</w:t>
      </w:r>
      <w:r>
        <w:rPr>
          <w:rFonts w:ascii="Arial" w:eastAsia="Arial" w:hAnsi="Arial" w:cs="Arial"/>
        </w:rPr>
        <w:t xml:space="preserve"> cuando contase con la carta de aceptación de la Universidad. </w:t>
      </w:r>
    </w:p>
    <w:p w:rsidR="00B233EE" w:rsidRDefault="00C67C57">
      <w:pPr>
        <w:numPr>
          <w:ilvl w:val="0"/>
          <w:numId w:val="13"/>
        </w:num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 responsabilidad de los/las postulantes leer atentamente la convocatoria con todos sus requisitos, procedimientos de postulación y todos los documentos adjuntos; así como presentar su candida</w:t>
      </w:r>
      <w:r>
        <w:rPr>
          <w:rFonts w:ascii="Arial" w:eastAsia="Arial" w:hAnsi="Arial" w:cs="Arial"/>
        </w:rPr>
        <w:t>tura cumpliendo con las exigencias profesionales especificadas en cada oferta.</w:t>
      </w:r>
    </w:p>
    <w:p w:rsidR="00B233EE" w:rsidRDefault="00C67C57">
      <w:pPr>
        <w:numPr>
          <w:ilvl w:val="0"/>
          <w:numId w:val="1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datos expresados en el formulario de postulación y sus respectivos anexos, tienen carácter de declaración jurada, por lo que, en el caso de haber falseado, adulterado, ocultado o presentado información inexacta con la finalidad de obtener la beca, el p</w:t>
      </w:r>
      <w:r>
        <w:rPr>
          <w:rFonts w:ascii="Arial" w:eastAsia="Arial" w:hAnsi="Arial" w:cs="Arial"/>
        </w:rPr>
        <w:t xml:space="preserve">ostulante asumirá las sanciones administrativas, civiles y penales respectivas, de acuerdo a la normativa de su país de origen. Asimismo, el postulante quedará inhabilitado para </w:t>
      </w:r>
      <w:r>
        <w:rPr>
          <w:rFonts w:ascii="Arial" w:eastAsia="Arial" w:hAnsi="Arial" w:cs="Arial"/>
        </w:rPr>
        <w:lastRenderedPageBreak/>
        <w:t>postular a futuras convocatorias de manera indefinida. Esto deberá ser informa</w:t>
      </w:r>
      <w:r>
        <w:rPr>
          <w:rFonts w:ascii="Arial" w:eastAsia="Arial" w:hAnsi="Arial" w:cs="Arial"/>
        </w:rPr>
        <w:t xml:space="preserve">do por el Comité conformado para la implementación de la beca.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  <w:highlight w:val="yellow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  <w:highlight w:val="yellow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SELECCIÓN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  <w:highlight w:val="yellow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La selección será realizada por un comité técnico en base a los siguientes criterios: admisibilidad, prioridad asignada por el Punto Focal, grado en que cumple con el perfil, experiencia profesional en el área del Diploma, consistencia curricular y posibil</w:t>
      </w:r>
      <w:r>
        <w:rPr>
          <w:rFonts w:ascii="Arial" w:eastAsia="Arial" w:hAnsi="Arial" w:cs="Arial"/>
        </w:rPr>
        <w:t xml:space="preserve">idad de impacto, entre otros elementos que el Comité considere pertinentes.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Universidad de Chile informará a los seleccionados del resultado el día </w:t>
      </w:r>
      <w:r>
        <w:rPr>
          <w:rFonts w:ascii="Arial" w:eastAsia="Arial" w:hAnsi="Arial" w:cs="Arial"/>
          <w:b/>
        </w:rPr>
        <w:t>05 de junio de 2023</w:t>
      </w:r>
      <w:r>
        <w:rPr>
          <w:rFonts w:ascii="Arial" w:eastAsia="Arial" w:hAnsi="Arial" w:cs="Arial"/>
        </w:rPr>
        <w:t xml:space="preserve"> y posteriormente tomarán contacto por correo electrónico con cada seleccionado, seg</w:t>
      </w:r>
      <w:r>
        <w:rPr>
          <w:rFonts w:ascii="Arial" w:eastAsia="Arial" w:hAnsi="Arial" w:cs="Arial"/>
        </w:rPr>
        <w:t xml:space="preserve">ún la información de contacto entregada en el formulario de postulación, para coordinar las gestiones correspondientes a su participación. 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Además, el resultado de la selección será publicado en el sitio Web de AGCID,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www.agci.cl</w:t>
        </w:r>
      </w:hyperlink>
      <w:r>
        <w:rPr>
          <w:rFonts w:ascii="Arial" w:eastAsia="Arial" w:hAnsi="Arial" w:cs="Arial"/>
        </w:rPr>
        <w:t xml:space="preserve"> para información de todos los interesados. </w:t>
      </w:r>
      <w:r>
        <w:rPr>
          <w:rFonts w:ascii="Arial" w:eastAsia="Arial" w:hAnsi="Arial" w:cs="Arial"/>
          <w:b/>
        </w:rPr>
        <w:t>NOTA:</w:t>
      </w:r>
      <w:r>
        <w:rPr>
          <w:rFonts w:ascii="Arial" w:eastAsia="Arial" w:hAnsi="Arial" w:cs="Arial"/>
        </w:rPr>
        <w:t xml:space="preserve"> sólo los seleccionados serán notificados a su correo electrónico. 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ind w:left="0" w:hanging="2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Tanto el otorgamiento de la carta de aceptación académica como también el resultado final de quienes obtienen la beca son re</w:t>
      </w:r>
      <w:r>
        <w:rPr>
          <w:rFonts w:ascii="Arial" w:eastAsia="Arial" w:hAnsi="Arial" w:cs="Arial"/>
          <w:b/>
          <w:u w:val="single"/>
        </w:rPr>
        <w:t>soluciones únicas y exclusivas de la Universidad de Chile y del Comité de Selección respectivamente. Ambas decisiones son inapelables.</w:t>
      </w:r>
    </w:p>
    <w:p w:rsidR="00B233EE" w:rsidRDefault="00B233EE">
      <w:pPr>
        <w:ind w:left="0" w:hanging="2"/>
        <w:jc w:val="both"/>
        <w:rPr>
          <w:rFonts w:ascii="Arial" w:eastAsia="Arial" w:hAnsi="Arial" w:cs="Arial"/>
          <w:u w:val="single"/>
        </w:rPr>
      </w:pPr>
    </w:p>
    <w:p w:rsidR="00B233EE" w:rsidRDefault="00C67C57">
      <w:pPr>
        <w:numPr>
          <w:ilvl w:val="0"/>
          <w:numId w:val="8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OBLIGACIONES DEL PARTICIPANTE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7"/>
        </w:numPr>
        <w:spacing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postulantes son responsables de entregar información de contacto vigente (Anexo I: Fo</w:t>
      </w:r>
      <w:r>
        <w:rPr>
          <w:rFonts w:ascii="Arial" w:eastAsia="Arial" w:hAnsi="Arial" w:cs="Arial"/>
        </w:rPr>
        <w:t xml:space="preserve">rmulario de Postulación) y de revisar periódicamente sus cuentas de correo electrónico, en caso de solicitudes y avisos oficiales por parte del equipo coordinador, conforme a las fechas descritas en el numeral XIII. </w:t>
      </w:r>
    </w:p>
    <w:p w:rsidR="00B233EE" w:rsidRDefault="00C67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Los participantes se ceñirán rigurosamente al programa del Diploma. No serán aceptadas solicitudes de cambio o alteraciones del programa del Diploma establecido inicialmente (excepto por motivos de emergencia, debidamente justificados).</w:t>
      </w:r>
    </w:p>
    <w:p w:rsidR="00B233EE" w:rsidRDefault="00C67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El Diploma contempl</w:t>
      </w:r>
      <w:r>
        <w:rPr>
          <w:rFonts w:ascii="Arial" w:eastAsia="Arial" w:hAnsi="Arial" w:cs="Arial"/>
          <w:color w:val="000000"/>
        </w:rPr>
        <w:t>a su realización en modalidad exclusivamente no presencial para la presente edición. La dedicación es de un 90% de asistencia mínima para su aprobación.</w:t>
      </w:r>
    </w:p>
    <w:p w:rsidR="00B233EE" w:rsidRDefault="00C67C57">
      <w:pPr>
        <w:numPr>
          <w:ilvl w:val="0"/>
          <w:numId w:val="7"/>
        </w:numPr>
        <w:spacing w:after="12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Realizar todos los trámites necesarios para su participación en el programa, entre ellos, la obtención </w:t>
      </w:r>
      <w:r>
        <w:rPr>
          <w:rFonts w:ascii="Arial" w:eastAsia="Arial" w:hAnsi="Arial" w:cs="Arial"/>
        </w:rPr>
        <w:t xml:space="preserve">de la autorización de su jefatura. </w:t>
      </w:r>
    </w:p>
    <w:p w:rsidR="00B233EE" w:rsidRDefault="00C67C5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Los participantes deberán solventar cualquier gasto personal durante el Diploma o que no se especifique en el </w:t>
      </w:r>
      <w:r>
        <w:rPr>
          <w:rFonts w:ascii="Arial" w:eastAsia="Arial" w:hAnsi="Arial" w:cs="Arial"/>
          <w:b/>
          <w:color w:val="000000"/>
        </w:rPr>
        <w:t>apartado Financiamiento</w:t>
      </w:r>
      <w:r>
        <w:rPr>
          <w:rFonts w:ascii="Arial" w:eastAsia="Arial" w:hAnsi="Arial" w:cs="Arial"/>
          <w:color w:val="000000"/>
        </w:rPr>
        <w:t>.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CONTACTOS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Universidad de Chile – Facultad de Ciencias Físicas y Matemáticas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Beauchef 850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Coordinador: Felipe Orellana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Mail: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forellanaz@ing.uchile.cl</w:t>
        </w:r>
      </w:hyperlink>
      <w:r>
        <w:rPr>
          <w:rFonts w:ascii="Arial" w:eastAsia="Arial" w:hAnsi="Arial" w:cs="Arial"/>
        </w:rPr>
        <w:t xml:space="preserve"> 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Agencia Chilena de Cooperación Internacional para el Desarrollo (AGCID)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Teatinos 180, Piso 8. Santiago, Chile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(+56 2) 2827 5700</w:t>
      </w: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Mail: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agencia@agci.gob.cl</w:t>
        </w:r>
      </w:hyperlink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ANEXOS</w:t>
      </w:r>
    </w:p>
    <w:p w:rsidR="00B233EE" w:rsidRDefault="00B233EE">
      <w:pPr>
        <w:spacing w:after="0"/>
        <w:ind w:left="0" w:hanging="2"/>
        <w:jc w:val="both"/>
        <w:rPr>
          <w:rFonts w:ascii="Arial" w:eastAsia="Arial" w:hAnsi="Arial" w:cs="Arial"/>
        </w:rPr>
      </w:pPr>
    </w:p>
    <w:p w:rsidR="00B233EE" w:rsidRDefault="00C67C57">
      <w:pPr>
        <w:numPr>
          <w:ilvl w:val="0"/>
          <w:numId w:val="1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I: Formulario de postulación.</w:t>
      </w:r>
    </w:p>
    <w:p w:rsidR="00B233EE" w:rsidRDefault="00C67C57">
      <w:pPr>
        <w:numPr>
          <w:ilvl w:val="0"/>
          <w:numId w:val="1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Anexo II: Compromiso del postulante. </w:t>
      </w:r>
    </w:p>
    <w:p w:rsidR="00B233EE" w:rsidRDefault="00C67C57">
      <w:pPr>
        <w:numPr>
          <w:ilvl w:val="0"/>
          <w:numId w:val="1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III: Reporte inicial de proyecto.</w:t>
      </w:r>
    </w:p>
    <w:p w:rsidR="00B233EE" w:rsidRDefault="00C67C57">
      <w:pPr>
        <w:numPr>
          <w:ilvl w:val="0"/>
          <w:numId w:val="1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IV: Certificado laboral</w:t>
      </w:r>
    </w:p>
    <w:p w:rsidR="00B233EE" w:rsidRDefault="00C67C57">
      <w:pPr>
        <w:numPr>
          <w:ilvl w:val="0"/>
          <w:numId w:val="1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V: Carta de compromiso in</w:t>
      </w:r>
      <w:r>
        <w:rPr>
          <w:rFonts w:ascii="Arial" w:eastAsia="Arial" w:hAnsi="Arial" w:cs="Arial"/>
        </w:rPr>
        <w:t>stitucional</w:t>
      </w:r>
    </w:p>
    <w:p w:rsidR="00B233EE" w:rsidRDefault="00C67C57">
      <w:pPr>
        <w:numPr>
          <w:ilvl w:val="0"/>
          <w:numId w:val="13"/>
        </w:numPr>
        <w:spacing w:after="0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VI: Lista de Puntos Focales.</w:t>
      </w:r>
    </w:p>
    <w:sectPr w:rsidR="00B233EE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C57" w:rsidRDefault="00C67C5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67C57" w:rsidRDefault="00C67C5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C57" w:rsidRDefault="00C67C5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67C57" w:rsidRDefault="00C67C57">
      <w:pPr>
        <w:spacing w:after="0" w:line="240" w:lineRule="auto"/>
        <w:ind w:left="0" w:hanging="2"/>
      </w:pPr>
      <w:r>
        <w:continuationSeparator/>
      </w:r>
    </w:p>
  </w:footnote>
  <w:footnote w:id="1">
    <w:p w:rsidR="00B233EE" w:rsidRDefault="00C67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20"/>
          <w:szCs w:val="20"/>
        </w:rPr>
        <w:t xml:space="preserve"> No se financiará ningún ítem adicional a los mencionados anteriormente, y cualquier modificación de éstos deberá ser financiada por cada participante. Gastos personales deberán ser cubiertos por cada participante.</w:t>
      </w:r>
    </w:p>
  </w:footnote>
  <w:footnote w:id="2">
    <w:p w:rsidR="00B233EE" w:rsidRDefault="00C67C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Es importante destacar que la postulaci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ón a la Universidad de Chile para obtener la carta de aceptación es un trámite previo a la postulación a la Beca. La fecha final de postulación a la Universidad de Chile para obtener la Carta de Aceptación al programa vence el 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05 de mayo de 2023</w:t>
      </w:r>
      <w:r>
        <w:rPr>
          <w:rFonts w:ascii="Arial" w:eastAsia="Arial" w:hAnsi="Arial" w:cs="Arial"/>
          <w:color w:val="000000"/>
          <w:sz w:val="20"/>
          <w:szCs w:val="20"/>
        </w:rPr>
        <w:t>. La Univer</w:t>
      </w:r>
      <w:r>
        <w:rPr>
          <w:rFonts w:ascii="Arial" w:eastAsia="Arial" w:hAnsi="Arial" w:cs="Arial"/>
          <w:color w:val="000000"/>
          <w:sz w:val="20"/>
          <w:szCs w:val="20"/>
        </w:rPr>
        <w:t>sidad de Chile podrá solicitar a los candidatos documentación adicional a la que se solicita en esta convocatoria para otorgar la carta de aceptación, así como todos los antecedentes académicos, por ejemplo, copia de título o concentración de notas de acue</w:t>
      </w:r>
      <w:r>
        <w:rPr>
          <w:rFonts w:ascii="Arial" w:eastAsia="Arial" w:hAnsi="Arial" w:cs="Arial"/>
          <w:color w:val="000000"/>
          <w:sz w:val="20"/>
          <w:szCs w:val="20"/>
        </w:rPr>
        <w:t>rdo a sus exigencias.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CC0"/>
    <w:multiLevelType w:val="multilevel"/>
    <w:tmpl w:val="F95CC3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E6300D3"/>
    <w:multiLevelType w:val="multilevel"/>
    <w:tmpl w:val="8DFEBDA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5C65A99"/>
    <w:multiLevelType w:val="multilevel"/>
    <w:tmpl w:val="C7F45D1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737222E"/>
    <w:multiLevelType w:val="multilevel"/>
    <w:tmpl w:val="DE641EC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28945E0E"/>
    <w:multiLevelType w:val="multilevel"/>
    <w:tmpl w:val="3880CF06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29957E86"/>
    <w:multiLevelType w:val="multilevel"/>
    <w:tmpl w:val="73C49FF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30BC64DC"/>
    <w:multiLevelType w:val="multilevel"/>
    <w:tmpl w:val="166EF5E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29C4C3C"/>
    <w:multiLevelType w:val="multilevel"/>
    <w:tmpl w:val="D9F2A54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4F095A86"/>
    <w:multiLevelType w:val="multilevel"/>
    <w:tmpl w:val="3152937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51352847"/>
    <w:multiLevelType w:val="multilevel"/>
    <w:tmpl w:val="A9E0705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B866A22"/>
    <w:multiLevelType w:val="multilevel"/>
    <w:tmpl w:val="D38AE90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633E0651"/>
    <w:multiLevelType w:val="multilevel"/>
    <w:tmpl w:val="11B49DB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793068E4"/>
    <w:multiLevelType w:val="multilevel"/>
    <w:tmpl w:val="89005E2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EE"/>
    <w:rsid w:val="006556D9"/>
    <w:rsid w:val="00B233EE"/>
    <w:rsid w:val="00C6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DFDB83-6708-4936-9CF7-E0FA2A24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spacing w:after="0"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glob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qFormat/>
    <w:rPr>
      <w:sz w:val="20"/>
      <w:szCs w:val="20"/>
    </w:rPr>
  </w:style>
  <w:style w:type="character" w:customStyle="1" w:styleId="TextonotapieCar">
    <w:name w:val="Texto nota pie Car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Hipervnculo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encinsinresolver">
    <w:name w:val="Mención sin resolver"/>
    <w:qFormat/>
    <w:rPr>
      <w:color w:val="808080"/>
      <w:w w:val="100"/>
      <w:position w:val="-1"/>
      <w:effect w:val="none"/>
      <w:shd w:val="clear" w:color="auto" w:fill="E6E6E6"/>
      <w:vertAlign w:val="baseline"/>
      <w:cs w:val="0"/>
      <w:em w:val="none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orellanaz@ing.uchile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gci.c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chile.cl/i15087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gci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gencia@agci.go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aF3n1cSXUcjVVI1ekBfpC6UNtg==">AMUW2mV5oQAB1rUS1/MvvdKPIM9+64CKHliRbsWQBfNLJ+Hd7rqLLr+SvWeruTSjT/MBxEw111gadeofBbjyAf7a8c44bxA9YA68Je8rkFzBeMSO8Zotb879hOwovNsJcqEICYWW97tE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2530</Words>
  <Characters>13916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2</cp:revision>
  <dcterms:created xsi:type="dcterms:W3CDTF">2023-01-17T16:50:00Z</dcterms:created>
  <dcterms:modified xsi:type="dcterms:W3CDTF">2023-01-17T16:50:00Z</dcterms:modified>
</cp:coreProperties>
</file>