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6C" w:rsidRDefault="006201B7">
      <w:pPr>
        <w:jc w:val="center"/>
        <w:rPr>
          <w:b/>
          <w:sz w:val="28"/>
          <w:szCs w:val="28"/>
        </w:rPr>
      </w:pPr>
      <w:r>
        <w:rPr>
          <w:noProof/>
          <w:lang w:val="es-PE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1849120</wp:posOffset>
            </wp:positionH>
            <wp:positionV relativeFrom="paragraph">
              <wp:posOffset>-187959</wp:posOffset>
            </wp:positionV>
            <wp:extent cx="2226734" cy="1534549"/>
            <wp:effectExtent l="0" t="0" r="0" b="0"/>
            <wp:wrapNone/>
            <wp:docPr id="7" name="image3.png" descr="C:\Users\Anita\Desktop\JCPP 2030 - 2022\Bomberos 2022\JCPP2030_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Anita\Desktop\JCPP 2030 - 2022\Bomberos 2022\JCPP2030_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6734" cy="15345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2B6C" w:rsidRDefault="009E2B6C">
      <w:pPr>
        <w:jc w:val="center"/>
        <w:rPr>
          <w:b/>
          <w:sz w:val="28"/>
          <w:szCs w:val="28"/>
        </w:rPr>
      </w:pPr>
    </w:p>
    <w:p w:rsidR="009E2B6C" w:rsidRDefault="009E2B6C">
      <w:pPr>
        <w:jc w:val="center"/>
        <w:rPr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9E2B6C" w:rsidRDefault="006201B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CONVOCATORIA DE BECA</w:t>
      </w:r>
    </w:p>
    <w:p w:rsidR="009E2B6C" w:rsidRDefault="009E2B6C">
      <w:pPr>
        <w:spacing w:after="0"/>
        <w:jc w:val="center"/>
        <w:rPr>
          <w:rFonts w:ascii="Arial" w:eastAsia="Arial" w:hAnsi="Arial" w:cs="Arial"/>
          <w:b/>
        </w:rPr>
      </w:pPr>
    </w:p>
    <w:p w:rsidR="009E2B6C" w:rsidRDefault="006201B7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II CURSO INTERNACIONAL DESARROLLO DE CAPACIDADES EN LA INCORPORACIÓN DEL ENFOQUE DE REDUCCIÓN DE RIESGO DE DESASTRE A LOS PROYECTOS DE INVERSIÓN PÚBLICA</w:t>
      </w:r>
    </w:p>
    <w:p w:rsidR="009E2B6C" w:rsidRDefault="006201B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EDICIÓN ONLINE </w:t>
      </w:r>
    </w:p>
    <w:p w:rsidR="009E2B6C" w:rsidRDefault="006201B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Desde el 8 de mayo al 11 de agosto del 2023</w:t>
      </w: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6201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Convocatoria Disponible en </w:t>
      </w:r>
      <w:hyperlink r:id="rId7">
        <w:r>
          <w:rPr>
            <w:color w:val="0563C1"/>
            <w:sz w:val="18"/>
            <w:szCs w:val="18"/>
            <w:u w:val="single"/>
          </w:rPr>
          <w:t>https://www.agci.cl</w:t>
        </w:r>
      </w:hyperlink>
    </w:p>
    <w:p w:rsidR="009E2B6C" w:rsidRDefault="006201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Agencia Chilena de Cooperación Internacional para el Desarrollo  │ AGCID</w:t>
      </w:r>
    </w:p>
    <w:p w:rsidR="009E2B6C" w:rsidRDefault="006201B7">
      <w:pPr>
        <w:spacing w:after="0"/>
        <w:jc w:val="center"/>
        <w:rPr>
          <w:sz w:val="18"/>
          <w:szCs w:val="18"/>
        </w:rPr>
      </w:pPr>
      <w:r>
        <w:rPr>
          <w:noProof/>
          <w:lang w:val="es-PE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38736</wp:posOffset>
            </wp:positionH>
            <wp:positionV relativeFrom="paragraph">
              <wp:posOffset>100330</wp:posOffset>
            </wp:positionV>
            <wp:extent cx="2058670" cy="1262380"/>
            <wp:effectExtent l="0" t="0" r="0" b="0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262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2B6C" w:rsidRDefault="009E2B6C">
      <w:pPr>
        <w:spacing w:after="0"/>
        <w:jc w:val="center"/>
        <w:rPr>
          <w:sz w:val="18"/>
          <w:szCs w:val="18"/>
        </w:rPr>
      </w:pPr>
    </w:p>
    <w:p w:rsidR="009E2B6C" w:rsidRDefault="006201B7">
      <w:pPr>
        <w:spacing w:after="0"/>
        <w:jc w:val="center"/>
        <w:rPr>
          <w:sz w:val="18"/>
          <w:szCs w:val="18"/>
        </w:rPr>
      </w:pPr>
      <w:r>
        <w:rPr>
          <w:noProof/>
          <w:lang w:val="es-PE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4745355</wp:posOffset>
            </wp:positionH>
            <wp:positionV relativeFrom="paragraph">
              <wp:posOffset>69215</wp:posOffset>
            </wp:positionV>
            <wp:extent cx="1094740" cy="93218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6201B7">
      <w:pPr>
        <w:ind w:left="7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val="es-PE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2332990</wp:posOffset>
            </wp:positionH>
            <wp:positionV relativeFrom="paragraph">
              <wp:posOffset>-490218</wp:posOffset>
            </wp:positionV>
            <wp:extent cx="2143125" cy="1034415"/>
            <wp:effectExtent l="0" t="0" r="0" b="0"/>
            <wp:wrapNone/>
            <wp:docPr id="8" name="image2.jpg" descr="Abierta convocatoria para presentación de proyectos al programa de  voluntarios de Japón | Ministerio de Planificación Nacional y Política  Económ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bierta convocatoria para presentación de proyectos al programa de  voluntarios de Japón | Ministerio de Planificación Nacional y Política  Económica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34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9E2B6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9E2B6C" w:rsidRDefault="006201B7">
      <w:pPr>
        <w:jc w:val="both"/>
        <w:rPr>
          <w:b/>
        </w:rPr>
      </w:pPr>
      <w:r>
        <w:rPr>
          <w:b/>
        </w:rPr>
        <w:t xml:space="preserve">Antecedentes del </w:t>
      </w:r>
      <w:proofErr w:type="spellStart"/>
      <w:r>
        <w:rPr>
          <w:b/>
        </w:rPr>
        <w:t>Japan</w:t>
      </w:r>
      <w:proofErr w:type="spellEnd"/>
      <w:r>
        <w:rPr>
          <w:b/>
        </w:rPr>
        <w:t xml:space="preserve"> - Chile </w:t>
      </w:r>
      <w:proofErr w:type="spellStart"/>
      <w:r>
        <w:rPr>
          <w:b/>
        </w:rPr>
        <w:t>Partnership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(JCPP 2030)</w:t>
      </w:r>
    </w:p>
    <w:p w:rsidR="009E2B6C" w:rsidRDefault="006201B7">
      <w:pPr>
        <w:jc w:val="both"/>
      </w:pPr>
      <w:r>
        <w:t xml:space="preserve">Los gobiernos de Chile y Japón, a través de sus Agencia de Cooperación Internacional AGCID y JICA respectivamente, acordaron llevar a cabo el </w:t>
      </w:r>
      <w:proofErr w:type="spellStart"/>
      <w:r>
        <w:t>Japan</w:t>
      </w:r>
      <w:proofErr w:type="spellEnd"/>
      <w:r>
        <w:t xml:space="preserve"> - Chile </w:t>
      </w:r>
      <w:proofErr w:type="spellStart"/>
      <w:r>
        <w:t>Partnership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(JCPP 2030), que fijará una estrategia  de cooperación triangular en beneficio</w:t>
      </w:r>
      <w:r>
        <w:t xml:space="preserve"> de terceros países, principalmente de América Latina y el Caribe. </w:t>
      </w:r>
    </w:p>
    <w:p w:rsidR="009E2B6C" w:rsidRDefault="006201B7">
      <w:pPr>
        <w:jc w:val="both"/>
      </w:pPr>
      <w:r>
        <w:t>El Programa tiene el propósito de extender la asistencia técnica mutua a países en desarrollo para su crecimiento económico y social, combinando efectivamente los recursos humanos, tecnoló</w:t>
      </w:r>
      <w:r>
        <w:t>gicos y financieros japoneses y chilenos. Para ello desarrollará programas de capacitación dirigidos a terceros países, principalmente en las temáticas de reducción del riesgo de desastres naturales, medioambiente, cambio climático y la inclusión socioecon</w:t>
      </w:r>
      <w:r>
        <w:t xml:space="preserve">ómica. </w:t>
      </w:r>
    </w:p>
    <w:p w:rsidR="009E2B6C" w:rsidRDefault="006201B7">
      <w:pPr>
        <w:jc w:val="both"/>
      </w:pPr>
      <w:r>
        <w:t>Los programas de capacitación y formación serán ejecutados por instituciones públicas, privadas y  de la sociedad civil que han desarrollado experticias en la materia correspondiente.</w:t>
      </w:r>
    </w:p>
    <w:p w:rsidR="009E2B6C" w:rsidRDefault="006201B7">
      <w:pPr>
        <w:jc w:val="both"/>
      </w:pPr>
      <w:r>
        <w:t>En el marco del JCPP 2030 se realizará el Programa de capacitaci</w:t>
      </w:r>
      <w:r>
        <w:t>ón en “</w:t>
      </w:r>
      <w:r>
        <w:rPr>
          <w:i/>
        </w:rPr>
        <w:t>Desarrollo de Capacidades en la Incorporación del Enfoque de Reducción de Riesgo de Desastres a los Proyectos de Inversión Pública”</w:t>
      </w:r>
      <w:r>
        <w:t>, en un ciclo de cuatro cursos internacionales implementados por el Ministerio de Desarrollo Social y Familia de Chile, en modalidad Online, en el período 2022 – 2025.</w:t>
      </w:r>
    </w:p>
    <w:p w:rsidR="009E2B6C" w:rsidRDefault="009E2B6C">
      <w:pPr>
        <w:jc w:val="both"/>
      </w:pPr>
    </w:p>
    <w:p w:rsidR="009E2B6C" w:rsidRDefault="006201B7">
      <w:pPr>
        <w:jc w:val="both"/>
        <w:rPr>
          <w:b/>
        </w:rPr>
      </w:pPr>
      <w:r>
        <w:rPr>
          <w:b/>
        </w:rPr>
        <w:t>INFORMACIÓN GENERAL</w:t>
      </w: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META SUPERIOR</w:t>
      </w:r>
    </w:p>
    <w:p w:rsidR="009E2B6C" w:rsidRDefault="006201B7">
      <w:pPr>
        <w:rPr>
          <w:b/>
        </w:rPr>
      </w:pPr>
      <w:r>
        <w:t>Los proyectos de infraestructura pública en América L</w:t>
      </w:r>
      <w:r>
        <w:t>atina y el Caribe son sometidos a evaluación incorporando con enfoque de reducción de riesgo de desastres (RRD).</w:t>
      </w:r>
    </w:p>
    <w:p w:rsidR="009E2B6C" w:rsidRDefault="009E2B6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</w:rPr>
      </w:pP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OBJETIVOS DEL CURSO</w:t>
      </w:r>
    </w:p>
    <w:p w:rsidR="009E2B6C" w:rsidRDefault="006201B7">
      <w:pPr>
        <w:ind w:left="372" w:firstLine="708"/>
        <w:jc w:val="both"/>
        <w:rPr>
          <w:b/>
        </w:rPr>
      </w:pPr>
      <w:r>
        <w:rPr>
          <w:b/>
        </w:rPr>
        <w:t>Objetivo general</w:t>
      </w:r>
    </w:p>
    <w:p w:rsidR="009E2B6C" w:rsidRDefault="006201B7">
      <w:pPr>
        <w:jc w:val="both"/>
        <w:rPr>
          <w:b/>
        </w:rPr>
      </w:pPr>
      <w:r>
        <w:t>Los países participantes del curso comprenden la metodología de evaluación del riesgo de desastres y generan un plan de acción para incorporar el enfoque de RRD en los proyectos de inversión pública de sus países.</w:t>
      </w: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RESULTADOS ESPERADOS</w:t>
      </w:r>
    </w:p>
    <w:p w:rsidR="009E2B6C" w:rsidRDefault="009E2B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b/>
          <w:color w:val="000000"/>
        </w:rPr>
      </w:pPr>
    </w:p>
    <w:p w:rsidR="009E2B6C" w:rsidRDefault="006201B7">
      <w:pPr>
        <w:jc w:val="both"/>
      </w:pPr>
      <w:r>
        <w:t>Se espera que los participantes del curso mejoren sus conocimientos y habilidades en:</w:t>
      </w:r>
    </w:p>
    <w:p w:rsidR="009E2B6C" w:rsidRDefault="006201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Determinación y cuantificación del riesgo de desastre. </w:t>
      </w:r>
    </w:p>
    <w:p w:rsidR="009E2B6C" w:rsidRDefault="006201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Priorización de las medidas de mitigación del riesgo de desastre para infraestructura pública crítica. </w:t>
      </w:r>
    </w:p>
    <w:p w:rsidR="009E2B6C" w:rsidRDefault="006201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Determinac</w:t>
      </w:r>
      <w:r>
        <w:rPr>
          <w:color w:val="000000"/>
        </w:rPr>
        <w:t>ión de métricas para evaluar el riesgo de desastre en proyectos de inversión pública.</w:t>
      </w:r>
    </w:p>
    <w:p w:rsidR="009E2B6C" w:rsidRDefault="006201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Elaboración de un Plan de Acción para incorporar la RRD en los proyectos de inversión pública. </w:t>
      </w:r>
    </w:p>
    <w:p w:rsidR="009E2B6C" w:rsidRDefault="006201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Monitoreo de la ejecución de los planes de acción.</w:t>
      </w:r>
    </w:p>
    <w:p w:rsidR="009E2B6C" w:rsidRDefault="009E2B6C">
      <w:pPr>
        <w:spacing w:after="0" w:line="240" w:lineRule="auto"/>
        <w:jc w:val="both"/>
        <w:rPr>
          <w:b/>
        </w:rPr>
      </w:pP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7"/>
        <w:jc w:val="both"/>
        <w:rPr>
          <w:b/>
          <w:color w:val="000000"/>
        </w:rPr>
      </w:pPr>
      <w:r>
        <w:rPr>
          <w:b/>
          <w:color w:val="000000"/>
        </w:rPr>
        <w:t>INSTITUCIÓN IMPLEMENTADORA</w:t>
      </w:r>
    </w:p>
    <w:p w:rsidR="009E2B6C" w:rsidRDefault="006201B7">
      <w:pPr>
        <w:jc w:val="both"/>
      </w:pPr>
      <w:r>
        <w:t xml:space="preserve">El Ministerio de Desarrollo Social y Familia de Chile, a través de la División de Evaluación Social de Inversiones de la Subsecretaría de Evaluación Social, será responsable de organizar la implementación del programa académico. </w:t>
      </w:r>
      <w:r>
        <w:t xml:space="preserve">Para más información del Ministerio de Desarrollo Social y Familia ir al sitio web institucional, en </w:t>
      </w:r>
      <w:hyperlink r:id="rId11">
        <w:r>
          <w:rPr>
            <w:color w:val="0563C1"/>
            <w:u w:val="single"/>
          </w:rPr>
          <w:t>https://www.desarrollosocialyfamilia.gob.cl/</w:t>
        </w:r>
      </w:hyperlink>
      <w:r>
        <w:t xml:space="preserve">. </w:t>
      </w:r>
    </w:p>
    <w:p w:rsidR="009E2B6C" w:rsidRDefault="006201B7">
      <w:pPr>
        <w:jc w:val="both"/>
      </w:pPr>
      <w:r>
        <w:t>El Programa Académico será realizado en cola</w:t>
      </w:r>
      <w:r>
        <w:t xml:space="preserve">boración con la Facultad de Ciencias Físicas y Matemáticas (FCFM) de la Universidad de Chile. </w:t>
      </w:r>
    </w:p>
    <w:p w:rsidR="009E2B6C" w:rsidRDefault="009E2B6C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color w:val="000000"/>
        </w:rPr>
      </w:pP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DURACIÓN</w:t>
      </w:r>
    </w:p>
    <w:p w:rsidR="009E2B6C" w:rsidRDefault="006201B7">
      <w:pPr>
        <w:jc w:val="both"/>
        <w:rPr>
          <w:b/>
        </w:rPr>
      </w:pPr>
      <w:r>
        <w:t>El Curso se implementa en el año 2023 y se realizará 100% ONLINE, con una duración de 80 horas, distribuidas en un máximo de diez (10) semanas. La moda</w:t>
      </w:r>
      <w:r>
        <w:t>lidad del programa será no presencial, mediante una modalidad híbrida con clases y talleres sincrónicos (tiempo real) y asincrónicos (plataforma virtual), y requiere dedicación de 07 horas a la semana aproximadamente.</w:t>
      </w:r>
    </w:p>
    <w:p w:rsidR="009E2B6C" w:rsidRDefault="009E2B6C">
      <w:pPr>
        <w:spacing w:after="0"/>
        <w:jc w:val="both"/>
      </w:pPr>
    </w:p>
    <w:p w:rsidR="009E2B6C" w:rsidRDefault="006201B7">
      <w:pPr>
        <w:spacing w:after="0"/>
        <w:jc w:val="both"/>
      </w:pPr>
      <w:r>
        <w:t>Esta segunda versión del curso se rea</w:t>
      </w:r>
      <w:r>
        <w:t>lizará desde el día 08 de mayo hasta el 11 de agosto del 2023.</w:t>
      </w:r>
    </w:p>
    <w:p w:rsidR="009E2B6C" w:rsidRDefault="009E2B6C">
      <w:pPr>
        <w:ind w:left="360"/>
        <w:jc w:val="both"/>
        <w:rPr>
          <w:b/>
        </w:rPr>
      </w:pP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IDIOMA</w:t>
      </w:r>
    </w:p>
    <w:p w:rsidR="009E2B6C" w:rsidRDefault="006201B7">
      <w:pPr>
        <w:ind w:left="360"/>
        <w:jc w:val="both"/>
      </w:pPr>
      <w:r>
        <w:t>El curso será dictado en idioma español e inglés.</w:t>
      </w: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BENEFICIOS DE LA BECA</w:t>
      </w:r>
    </w:p>
    <w:p w:rsidR="009E2B6C" w:rsidRDefault="006201B7">
      <w:pPr>
        <w:jc w:val="both"/>
      </w:pPr>
      <w:r>
        <w:t>Las personas que resulten seleccionadas serán beneficiadas con una beca que cubrirá el 100% de los siguientes ítems:</w:t>
      </w:r>
    </w:p>
    <w:p w:rsidR="009E2B6C" w:rsidRDefault="00620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Costos de matrícula y arancel del programa de capacitación.</w:t>
      </w:r>
    </w:p>
    <w:p w:rsidR="009E2B6C" w:rsidRDefault="00620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Certificado de Participación emitido por el Ministerio de Desarrollo Social y F</w:t>
      </w:r>
      <w:r>
        <w:rPr>
          <w:color w:val="000000"/>
        </w:rPr>
        <w:t>amilia.</w:t>
      </w:r>
    </w:p>
    <w:p w:rsidR="009E2B6C" w:rsidRDefault="00620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Diploma emitido por la Facultad de Ciencias Físicas y Matemáticas de la Universidad de Chile.</w:t>
      </w:r>
    </w:p>
    <w:p w:rsidR="009E2B6C" w:rsidRDefault="009E2B6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</w:rPr>
      </w:pP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PAÍSES INVITADOS</w:t>
      </w:r>
    </w:p>
    <w:p w:rsidR="009E2B6C" w:rsidRDefault="006201B7">
      <w:pPr>
        <w:jc w:val="both"/>
      </w:pPr>
      <w:r>
        <w:t>Los gobiernos de los siguientes países y regiones serán invitados a nominar postulantes para el curso: Argentina, Bolivia, Brasil, Colombia, Costa Rica, Cuba, Ecuador, El Salvador, Guatemala, Honduras, México, Panamá, Paraguay, Perú, República Dominicana y</w:t>
      </w:r>
      <w:r>
        <w:t xml:space="preserve"> Uruguay, y los siguientes Estados Miembros de CARICOM: Antigua y Barbuda, Bahamas, Barbados, Belice, Dominica, Granada, Guyana, Haití, Jamaica, Santa Lucía, San Cristóbal y Nieves, San Vicente y Las Granadinas, Surinam y Trinidad y Tobago.  </w:t>
      </w:r>
    </w:p>
    <w:p w:rsidR="009E2B6C" w:rsidRDefault="009E2B6C">
      <w:pPr>
        <w:jc w:val="both"/>
        <w:rPr>
          <w:b/>
        </w:rPr>
      </w:pP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NÚMERO TOTAL</w:t>
      </w:r>
      <w:r>
        <w:rPr>
          <w:b/>
          <w:color w:val="000000"/>
        </w:rPr>
        <w:t xml:space="preserve"> DE PARTICIPANTES</w:t>
      </w:r>
    </w:p>
    <w:p w:rsidR="009E2B6C" w:rsidRDefault="006201B7">
      <w:pPr>
        <w:spacing w:after="0"/>
        <w:jc w:val="both"/>
      </w:pPr>
      <w:r>
        <w:t xml:space="preserve">El número total de participantes de los países invitados no excederá de 20 en total. No existe un cupo preestablecido por país. </w:t>
      </w:r>
    </w:p>
    <w:p w:rsidR="009E2B6C" w:rsidRDefault="009E2B6C">
      <w:pPr>
        <w:jc w:val="both"/>
        <w:rPr>
          <w:b/>
        </w:rPr>
      </w:pP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REQUISITOS DE POSTULACIÓN</w:t>
      </w:r>
    </w:p>
    <w:p w:rsidR="009E2B6C" w:rsidRDefault="009E2B6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/>
          <w:color w:val="000000"/>
        </w:rPr>
      </w:pPr>
    </w:p>
    <w:p w:rsidR="009E2B6C" w:rsidRDefault="006201B7">
      <w:pPr>
        <w:jc w:val="both"/>
      </w:pPr>
      <w:r>
        <w:t>El curso internacional está dirigido a personas que cumplan con los siguientes re</w:t>
      </w:r>
      <w:r>
        <w:t>quisitos de postulación:</w:t>
      </w:r>
    </w:p>
    <w:p w:rsidR="009E2B6C" w:rsidRDefault="009E2B6C">
      <w:pPr>
        <w:widowControl w:val="0"/>
        <w:tabs>
          <w:tab w:val="left" w:pos="567"/>
          <w:tab w:val="left" w:pos="4680"/>
        </w:tabs>
        <w:spacing w:after="0" w:line="240" w:lineRule="auto"/>
        <w:ind w:left="360"/>
        <w:jc w:val="both"/>
      </w:pPr>
    </w:p>
    <w:p w:rsidR="009E2B6C" w:rsidRDefault="006201B7">
      <w:pPr>
        <w:widowControl w:val="0"/>
        <w:numPr>
          <w:ilvl w:val="1"/>
          <w:numId w:val="4"/>
        </w:numPr>
        <w:tabs>
          <w:tab w:val="left" w:pos="426"/>
          <w:tab w:val="left" w:pos="567"/>
        </w:tabs>
        <w:spacing w:after="0" w:line="240" w:lineRule="auto"/>
        <w:ind w:left="720" w:hanging="152"/>
        <w:jc w:val="both"/>
      </w:pPr>
      <w:r>
        <w:t>Ser ciudadano del país convocado y poseer residencia alguno de estos. En caso de residir temporalmente en algún país distinto al de su ciudadanía, deberá postular con el punto focal del país del cual es ciudadano.</w:t>
      </w:r>
    </w:p>
    <w:p w:rsidR="009E2B6C" w:rsidRDefault="006201B7">
      <w:pPr>
        <w:widowControl w:val="0"/>
        <w:numPr>
          <w:ilvl w:val="1"/>
          <w:numId w:val="4"/>
        </w:numPr>
        <w:tabs>
          <w:tab w:val="left" w:pos="426"/>
          <w:tab w:val="left" w:pos="567"/>
        </w:tabs>
        <w:spacing w:after="0" w:line="240" w:lineRule="auto"/>
        <w:ind w:left="720" w:hanging="152"/>
        <w:jc w:val="both"/>
      </w:pPr>
      <w:r>
        <w:t xml:space="preserve">Ser nominado(a) por su Gobierno de acuerdo con los procedimientos indicados en Párrafo XI.  </w:t>
      </w:r>
    </w:p>
    <w:p w:rsidR="009E2B6C" w:rsidRDefault="006201B7">
      <w:pPr>
        <w:widowControl w:val="0"/>
        <w:numPr>
          <w:ilvl w:val="1"/>
          <w:numId w:val="4"/>
        </w:numPr>
        <w:tabs>
          <w:tab w:val="left" w:pos="567"/>
          <w:tab w:val="left" w:pos="993"/>
        </w:tabs>
        <w:spacing w:after="0" w:line="240" w:lineRule="auto"/>
        <w:ind w:left="720" w:hanging="152"/>
        <w:jc w:val="both"/>
      </w:pPr>
      <w:r>
        <w:t xml:space="preserve">No pertenecer a las Fuerzas Armadas ni a Defensa Nacional; y  </w:t>
      </w:r>
    </w:p>
    <w:p w:rsidR="009E2B6C" w:rsidRDefault="006201B7">
      <w:pPr>
        <w:widowControl w:val="0"/>
        <w:numPr>
          <w:ilvl w:val="1"/>
          <w:numId w:val="4"/>
        </w:numPr>
        <w:tabs>
          <w:tab w:val="left" w:pos="567"/>
          <w:tab w:val="left" w:pos="993"/>
        </w:tabs>
        <w:spacing w:after="0" w:line="240" w:lineRule="auto"/>
        <w:ind w:left="720" w:hanging="152"/>
        <w:jc w:val="both"/>
      </w:pPr>
      <w:r>
        <w:t>Tener un título profesional o su equivalente en el área del curso internacional, relacionado a proye</w:t>
      </w:r>
      <w:r>
        <w:t xml:space="preserve">ctos de inversión pública y/o reducción de riesgo de desastres (universitario; 8 semestres de estudios). </w:t>
      </w:r>
    </w:p>
    <w:p w:rsidR="009E2B6C" w:rsidRDefault="006201B7">
      <w:pPr>
        <w:widowControl w:val="0"/>
        <w:numPr>
          <w:ilvl w:val="1"/>
          <w:numId w:val="4"/>
        </w:numPr>
        <w:tabs>
          <w:tab w:val="left" w:pos="567"/>
          <w:tab w:val="left" w:pos="993"/>
        </w:tabs>
        <w:spacing w:after="0" w:line="240" w:lineRule="auto"/>
        <w:ind w:left="720" w:hanging="152"/>
        <w:jc w:val="both"/>
      </w:pPr>
      <w:r>
        <w:t xml:space="preserve">Tener experiencia de al menos un año en análisis, formulación, evaluación de proyectos o en el desarrollo de guías o metodologías para la formulación </w:t>
      </w:r>
      <w:r>
        <w:t>y/o evaluación de proyectos de infraestructura pública</w:t>
      </w:r>
    </w:p>
    <w:p w:rsidR="009E2B6C" w:rsidRDefault="006201B7">
      <w:pPr>
        <w:widowControl w:val="0"/>
        <w:numPr>
          <w:ilvl w:val="1"/>
          <w:numId w:val="4"/>
        </w:numPr>
        <w:tabs>
          <w:tab w:val="left" w:pos="567"/>
          <w:tab w:val="left" w:pos="993"/>
        </w:tabs>
        <w:spacing w:after="0" w:line="240" w:lineRule="auto"/>
        <w:ind w:hanging="333"/>
        <w:jc w:val="both"/>
      </w:pPr>
      <w:r>
        <w:t xml:space="preserve"> Tener un nivel avanzado o equivalente de idioma español o inglés a nivel hablado y escrito.</w:t>
      </w:r>
    </w:p>
    <w:p w:rsidR="009E2B6C" w:rsidRDefault="006201B7">
      <w:pPr>
        <w:widowControl w:val="0"/>
        <w:numPr>
          <w:ilvl w:val="1"/>
          <w:numId w:val="4"/>
        </w:numPr>
        <w:tabs>
          <w:tab w:val="left" w:pos="567"/>
          <w:tab w:val="left" w:pos="993"/>
        </w:tabs>
        <w:spacing w:after="0" w:line="240" w:lineRule="auto"/>
        <w:ind w:hanging="333"/>
        <w:jc w:val="both"/>
      </w:pPr>
      <w:r>
        <w:t>Contar con acceso a red internet al menos 07 horas semanales para desarrollo de clases Online</w:t>
      </w:r>
    </w:p>
    <w:p w:rsidR="009E2B6C" w:rsidRDefault="009E2B6C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</w:rPr>
      </w:pPr>
    </w:p>
    <w:p w:rsidR="009E2B6C" w:rsidRDefault="006201B7">
      <w:pPr>
        <w:jc w:val="both"/>
        <w:rPr>
          <w:b/>
          <w:u w:val="single"/>
        </w:rPr>
      </w:pPr>
      <w:r>
        <w:rPr>
          <w:b/>
          <w:u w:val="single"/>
        </w:rPr>
        <w:t>Nota importan</w:t>
      </w:r>
      <w:r>
        <w:rPr>
          <w:b/>
          <w:u w:val="single"/>
        </w:rPr>
        <w:t>te:</w:t>
      </w:r>
    </w:p>
    <w:p w:rsidR="009E2B6C" w:rsidRDefault="0062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b/>
          <w:color w:val="000000"/>
        </w:rPr>
      </w:pPr>
      <w:r>
        <w:rPr>
          <w:color w:val="000000"/>
        </w:rPr>
        <w:t>Se priorizará en la selección los candidatos que se encuentren trabajando en proyectos relacionados con el desarrollo nacional de su país.</w:t>
      </w:r>
    </w:p>
    <w:p w:rsidR="009E2B6C" w:rsidRDefault="009E2B6C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b/>
          <w:color w:val="000000"/>
        </w:rPr>
      </w:pP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 PROCEDIMIENTO DE POSTULACIÓN </w:t>
      </w:r>
    </w:p>
    <w:p w:rsidR="009E2B6C" w:rsidRDefault="006201B7">
      <w:pPr>
        <w:jc w:val="both"/>
      </w:pPr>
      <w:r>
        <w:t>Los candidatos deben entregar su postulación con el registro de toda la información solicitada impresa en original y respaldada en digital (copia íntegra de su postulación incluyendo firmas y sellos respectivos) en el Punto Focal de su país de origen (Anex</w:t>
      </w:r>
      <w:r>
        <w:t>o IV) para la oficialización correspondiente. Los documentos que se deben presentar son los siguientes:</w:t>
      </w:r>
    </w:p>
    <w:p w:rsidR="009E2B6C" w:rsidRDefault="006201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>
        <w:rPr>
          <w:color w:val="000000"/>
        </w:rPr>
        <w:t>Anexos I, II y III.</w:t>
      </w:r>
    </w:p>
    <w:p w:rsidR="009E2B6C" w:rsidRDefault="006201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>
        <w:rPr>
          <w:color w:val="000000"/>
        </w:rPr>
        <w:t>Postulantes que no sean de habla hispana/inglesa deberán presentar una acreditación de manejo de idioma tal como: certificación mediante examen internacional, copia de título universitario en caso de haber cursado estudios de pregrado o postgrado en un paí</w:t>
      </w:r>
      <w:r>
        <w:rPr>
          <w:color w:val="000000"/>
        </w:rPr>
        <w:t xml:space="preserve">s de habla hispana/inglesa, carta de confirmación de la Embajada de Chile en el país. </w:t>
      </w:r>
    </w:p>
    <w:p w:rsidR="009E2B6C" w:rsidRDefault="009E2B6C">
      <w:pPr>
        <w:spacing w:after="0"/>
        <w:rPr>
          <w:b/>
        </w:rPr>
      </w:pPr>
    </w:p>
    <w:p w:rsidR="009E2B6C" w:rsidRDefault="006201B7">
      <w:pPr>
        <w:jc w:val="both"/>
      </w:pPr>
      <w:r>
        <w:t>Los interesados deberán presentar sus postulaciones en el Punto Focal en cada país (revisar listado de puntos focales en el Anexo IV), a fin de oficializar su postulaci</w:t>
      </w:r>
      <w:r>
        <w:t>ón. Las postulaciones recibidas sin la oficialización por el Punto Focal, no serán consideradas al momento de la selección.</w:t>
      </w:r>
    </w:p>
    <w:p w:rsidR="009E2B6C" w:rsidRDefault="006201B7">
      <w:pPr>
        <w:jc w:val="both"/>
      </w:pPr>
      <w:r>
        <w:rPr>
          <w:b/>
          <w:u w:val="single"/>
        </w:rPr>
        <w:t>Cada punto focal determinará la fecha límite para la presentación de postulaciones, por lo tanto, es responsabilidad de cada postula</w:t>
      </w:r>
      <w:r>
        <w:rPr>
          <w:b/>
          <w:u w:val="single"/>
        </w:rPr>
        <w:t>nte consultar directamente con el punto focal del país al cual pertenece (Anexo IV) la respectiva fecha de cierre de convocatoria. Estas pueden variar de un país a otro.</w:t>
      </w:r>
      <w:r>
        <w:t xml:space="preserve"> </w:t>
      </w:r>
    </w:p>
    <w:p w:rsidR="009E2B6C" w:rsidRDefault="006201B7">
      <w:pPr>
        <w:jc w:val="both"/>
      </w:pPr>
      <w:r>
        <w:t>El Punto Focal de cada país, deberá subir su preselección de postulantes (no existe cupo por país) a la plataforma de becas de la Agencia Chilena de Cooperación Internacional para el Desarrollo, a más tardar el 31 de marzo de 2023, hasta las 23:59 horas de</w:t>
      </w:r>
      <w:r>
        <w:t xml:space="preserve"> Chile.</w:t>
      </w:r>
    </w:p>
    <w:p w:rsidR="009E2B6C" w:rsidRDefault="009E2B6C">
      <w:pPr>
        <w:spacing w:after="0"/>
        <w:jc w:val="both"/>
        <w:rPr>
          <w:rFonts w:ascii="Arial" w:eastAsia="Arial" w:hAnsi="Arial" w:cs="Arial"/>
        </w:rPr>
      </w:pPr>
    </w:p>
    <w:p w:rsidR="009E2B6C" w:rsidRDefault="006201B7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/>
        <w:jc w:val="both"/>
        <w:rPr>
          <w:rFonts w:ascii="Arial" w:eastAsia="Arial" w:hAnsi="Arial" w:cs="Arial"/>
          <w:b/>
        </w:rPr>
      </w:pPr>
      <w:r>
        <w:t xml:space="preserve">La fecha final de recepción de postulaciones vence impostergablemente el </w:t>
      </w:r>
      <w:r>
        <w:rPr>
          <w:b/>
        </w:rPr>
        <w:t>31 de marzo de 2023, pudiendo ser cerrada con anterioridad a la fecha señalada por el Punto Focal de AGCID</w:t>
      </w:r>
      <w:r>
        <w:t xml:space="preserve"> de cada país, por lo que deberá ser confirmada en el país de origen</w:t>
      </w:r>
      <w:r>
        <w:t xml:space="preserve"> de cada interesado, de acuerdo a los contactos del Anexo IV. </w:t>
      </w:r>
    </w:p>
    <w:p w:rsidR="009E2B6C" w:rsidRDefault="009E2B6C">
      <w:pPr>
        <w:jc w:val="both"/>
        <w:rPr>
          <w:b/>
        </w:rPr>
      </w:pPr>
    </w:p>
    <w:p w:rsidR="009E2B6C" w:rsidRDefault="006201B7">
      <w:pPr>
        <w:jc w:val="both"/>
        <w:rPr>
          <w:b/>
        </w:rPr>
      </w:pPr>
      <w:r>
        <w:rPr>
          <w:b/>
        </w:rPr>
        <w:t>A CONSIDERAR:</w:t>
      </w:r>
    </w:p>
    <w:p w:rsidR="009E2B6C" w:rsidRDefault="006201B7">
      <w:pPr>
        <w:numPr>
          <w:ilvl w:val="0"/>
          <w:numId w:val="3"/>
        </w:numPr>
        <w:spacing w:after="200" w:line="276" w:lineRule="auto"/>
        <w:jc w:val="both"/>
      </w:pPr>
      <w:r>
        <w:t>No se cursará ninguna postulación incompleta, ilegible o fuera de plazo.</w:t>
      </w:r>
    </w:p>
    <w:p w:rsidR="009E2B6C" w:rsidRDefault="006201B7">
      <w:pPr>
        <w:numPr>
          <w:ilvl w:val="0"/>
          <w:numId w:val="3"/>
        </w:numPr>
        <w:spacing w:after="200" w:line="276" w:lineRule="auto"/>
        <w:jc w:val="both"/>
      </w:pPr>
      <w:r>
        <w:t xml:space="preserve">Sólo se evaluarán postulaciones remitidas oficialmente por el Punto Focal. No se considerará ninguna postulación remitida directamente por el postulante. </w:t>
      </w:r>
    </w:p>
    <w:p w:rsidR="009E2B6C" w:rsidRDefault="006201B7">
      <w:pPr>
        <w:numPr>
          <w:ilvl w:val="0"/>
          <w:numId w:val="3"/>
        </w:numPr>
        <w:spacing w:after="200" w:line="276" w:lineRule="auto"/>
        <w:jc w:val="both"/>
      </w:pPr>
      <w:r>
        <w:t xml:space="preserve">Es responsabilidad de los/las postulantes leer atentamente la convocatoria con todos sus requisitos, </w:t>
      </w:r>
      <w:r>
        <w:t>procedimientos de postulación y todos los documentos adjuntos; así como presentar su candidatura cumpliendo con las exigencias profesionales especificadas en cada oferta.</w:t>
      </w:r>
    </w:p>
    <w:p w:rsidR="009E2B6C" w:rsidRDefault="006201B7">
      <w:pPr>
        <w:numPr>
          <w:ilvl w:val="0"/>
          <w:numId w:val="3"/>
        </w:numPr>
        <w:spacing w:after="200" w:line="276" w:lineRule="auto"/>
        <w:jc w:val="both"/>
      </w:pPr>
      <w:r>
        <w:t>Los datos expresados en el formulario de postulación y sus respectivos anexos, tienen</w:t>
      </w:r>
      <w:r>
        <w:t xml:space="preserve"> carácter de declaración jurada, por lo que, en el caso de haber falseado, adulterado, ocultado o presentado información inexacta con la finalidad de obtener la beca, el postulante asumirá las sanciones administrativas, civiles y penales respectivas, de ac</w:t>
      </w:r>
      <w:r>
        <w:t>uerdo a la normativa de su país de origen. Asimismo, el postulante quedará inhabilitado para postular a futuras convocatorias de manera indefinida. Esto deberá ser informado por el Comité conformado para la implementación de la beca.</w:t>
      </w: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SELECCIÓN</w:t>
      </w:r>
    </w:p>
    <w:p w:rsidR="009E2B6C" w:rsidRDefault="006201B7">
      <w:pPr>
        <w:jc w:val="both"/>
        <w:rPr>
          <w:b/>
        </w:rPr>
      </w:pPr>
      <w:r>
        <w:t>La selección</w:t>
      </w:r>
      <w:r>
        <w:t xml:space="preserve"> será realizada por un Comité Técnico entre JICA, AGCID y el Ministerio de Desarrollo Social y Familia (MDSF). Este mismo Comité puede evaluar la pertinencia de incorporar a otros expertos en materia de desastres por amenazas naturales y/o inversión públic</w:t>
      </w:r>
      <w:r>
        <w:t>a.</w:t>
      </w:r>
    </w:p>
    <w:p w:rsidR="009E2B6C" w:rsidRDefault="009E2B6C">
      <w:pPr>
        <w:spacing w:after="0"/>
        <w:jc w:val="both"/>
      </w:pPr>
    </w:p>
    <w:p w:rsidR="009E2B6C" w:rsidRDefault="006201B7">
      <w:pPr>
        <w:spacing w:after="0"/>
        <w:jc w:val="both"/>
      </w:pPr>
      <w:r>
        <w:rPr>
          <w:b/>
        </w:rPr>
        <w:tab/>
        <w:t xml:space="preserve">El resultado de la selección será publicado el día 10 de abril de 2023 en el sitio web de AGCID, disponible en www.agci.cl, </w:t>
      </w:r>
      <w:r>
        <w:t xml:space="preserve">para información de todos los interesados. </w:t>
      </w:r>
    </w:p>
    <w:p w:rsidR="009E2B6C" w:rsidRDefault="009E2B6C">
      <w:pPr>
        <w:spacing w:after="0"/>
        <w:jc w:val="both"/>
      </w:pPr>
    </w:p>
    <w:p w:rsidR="009E2B6C" w:rsidRDefault="006201B7">
      <w:pPr>
        <w:spacing w:after="0"/>
        <w:jc w:val="both"/>
      </w:pPr>
      <w:r>
        <w:tab/>
        <w:t>Los ejecutores del Curso tomarán contacto por correo electrónico con cada selecci</w:t>
      </w:r>
      <w:r>
        <w:t xml:space="preserve">onado para notificarlo, según la información de contacto entregada en el Formulario de Postulación y coordinarán directamente todas las gestiones correspondientes a su participación. </w:t>
      </w:r>
    </w:p>
    <w:p w:rsidR="009E2B6C" w:rsidRDefault="009E2B6C">
      <w:pPr>
        <w:spacing w:after="0"/>
        <w:jc w:val="both"/>
      </w:pPr>
    </w:p>
    <w:p w:rsidR="009E2B6C" w:rsidRDefault="006201B7">
      <w:pPr>
        <w:spacing w:after="0"/>
        <w:jc w:val="both"/>
      </w:pPr>
      <w:r>
        <w:tab/>
        <w:t>Importante: Sólo seleccionados serán notificados y, una vez hayan conf</w:t>
      </w:r>
      <w:r>
        <w:t xml:space="preserve">irmado aceptación de la beca, se les remitirá una guía con las indicaciones correspondientes y trámites a seguir. </w:t>
      </w:r>
    </w:p>
    <w:p w:rsidR="009E2B6C" w:rsidRDefault="009E2B6C">
      <w:pPr>
        <w:spacing w:after="0"/>
        <w:jc w:val="both"/>
      </w:pPr>
    </w:p>
    <w:p w:rsidR="009E2B6C" w:rsidRDefault="006201B7">
      <w:pPr>
        <w:spacing w:after="0"/>
        <w:jc w:val="both"/>
        <w:rPr>
          <w:b/>
        </w:rPr>
      </w:pPr>
      <w:r>
        <w:rPr>
          <w:b/>
        </w:rPr>
        <w:tab/>
        <w:t xml:space="preserve">El resultado final con respecto a quienes obtienen la beca es resolución exclusiva del Comité Técnico y </w:t>
      </w:r>
      <w:r>
        <w:rPr>
          <w:b/>
          <w:u w:val="single"/>
        </w:rPr>
        <w:t>esta decisión es inapelable.</w:t>
      </w:r>
      <w:r>
        <w:rPr>
          <w:b/>
        </w:rPr>
        <w:t xml:space="preserve"> </w:t>
      </w:r>
    </w:p>
    <w:p w:rsidR="009E2B6C" w:rsidRDefault="009E2B6C">
      <w:pPr>
        <w:jc w:val="both"/>
        <w:rPr>
          <w:b/>
        </w:rPr>
      </w:pP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REGL</w:t>
      </w:r>
      <w:r>
        <w:rPr>
          <w:b/>
          <w:color w:val="000000"/>
        </w:rPr>
        <w:t>AMENTO</w:t>
      </w:r>
    </w:p>
    <w:p w:rsidR="009E2B6C" w:rsidRDefault="006201B7">
      <w:pPr>
        <w:rPr>
          <w:b/>
        </w:rPr>
      </w:pPr>
      <w:r>
        <w:rPr>
          <w:b/>
        </w:rPr>
        <w:t>Los participantes deberán respetar las siguientes reglas:</w:t>
      </w:r>
    </w:p>
    <w:p w:rsidR="009E2B6C" w:rsidRDefault="006201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</w:pPr>
      <w:r>
        <w:rPr>
          <w:color w:val="000000"/>
        </w:rPr>
        <w:t>Los postulantes son responsables de entregar información de contacto vigente (Anexo I: Ficha de Postulación) y de revisar periódicamente sus cuentas de correo electrónico, en caso de solicitudes y avisos oficiales por parte del equipo coordinador, conforme</w:t>
      </w:r>
      <w:r>
        <w:rPr>
          <w:color w:val="000000"/>
        </w:rPr>
        <w:t xml:space="preserve"> a las fechas descritas en el numeral XI. </w:t>
      </w:r>
    </w:p>
    <w:p w:rsidR="009E2B6C" w:rsidRDefault="006201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>
        <w:rPr>
          <w:color w:val="000000"/>
        </w:rPr>
        <w:t>Los participantes se ceñirán rigurosamente al programa del Curso. No serán aceptadas solicitudes de cambio o alteraciones del programa del Curso establecido inicialmente.</w:t>
      </w:r>
    </w:p>
    <w:p w:rsidR="009E2B6C" w:rsidRDefault="006201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>
        <w:rPr>
          <w:color w:val="000000"/>
        </w:rPr>
        <w:t>Respetar las indicaciones dadas por profes</w:t>
      </w:r>
      <w:r>
        <w:rPr>
          <w:color w:val="000000"/>
        </w:rPr>
        <w:t>ores y cautelar la buena convivencia entre los/as becarios/as del curso.</w:t>
      </w:r>
    </w:p>
    <w:p w:rsidR="009E2B6C" w:rsidRDefault="006201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>
        <w:rPr>
          <w:color w:val="000000"/>
        </w:rPr>
        <w:t>El curso contempla su realización en modalidad exclusivamente no presencial para la presente edición. La dedicación es de un 90% de asistencia mínima para su aprobación.</w:t>
      </w:r>
    </w:p>
    <w:p w:rsidR="009E2B6C" w:rsidRDefault="006201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>
        <w:rPr>
          <w:color w:val="000000"/>
        </w:rPr>
        <w:t>Realizar todo</w:t>
      </w:r>
      <w:r>
        <w:rPr>
          <w:color w:val="000000"/>
        </w:rPr>
        <w:t xml:space="preserve">s los trámites necesarios para su participación en el programa, entre ellos, la obtención de la autorización de su jefatura. </w:t>
      </w:r>
    </w:p>
    <w:p w:rsidR="009E2B6C" w:rsidRDefault="006201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>
        <w:rPr>
          <w:color w:val="000000"/>
        </w:rPr>
        <w:t>La interrupción de la participación en el curso sólo será autorizada en casos debidamente calificados, que impidan continuar el en</w:t>
      </w:r>
      <w:r>
        <w:rPr>
          <w:color w:val="000000"/>
        </w:rPr>
        <w:t>trenamiento.</w:t>
      </w:r>
    </w:p>
    <w:p w:rsidR="009E2B6C" w:rsidRDefault="009E2B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9E2B6C" w:rsidRDefault="009E2B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9E2B6C" w:rsidRDefault="006201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PROGRAMA GENERAL DEL CURSO (PRELIMINAR)</w:t>
      </w:r>
    </w:p>
    <w:p w:rsidR="009E2B6C" w:rsidRDefault="006201B7">
      <w:r>
        <w:t xml:space="preserve">El siguiente programa general del curso presenta los tópicos y fechas preliminares, las cuales serán confirmadas previo al inicio del curso por parte de la coordinación académica. </w:t>
      </w:r>
    </w:p>
    <w:tbl>
      <w:tblPr>
        <w:tblStyle w:val="a"/>
        <w:tblW w:w="8828" w:type="dxa"/>
        <w:tblLayout w:type="fixed"/>
        <w:tblLook w:val="0400" w:firstRow="0" w:lastRow="0" w:firstColumn="0" w:lastColumn="0" w:noHBand="0" w:noVBand="1"/>
      </w:tblPr>
      <w:tblGrid>
        <w:gridCol w:w="703"/>
        <w:gridCol w:w="6305"/>
        <w:gridCol w:w="1656"/>
        <w:gridCol w:w="164"/>
      </w:tblGrid>
      <w:tr w:rsidR="009E2B6C">
        <w:trPr>
          <w:gridAfter w:val="1"/>
          <w:wAfter w:w="164" w:type="dxa"/>
          <w:trHeight w:val="45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Semana</w:t>
            </w:r>
          </w:p>
        </w:tc>
        <w:tc>
          <w:tcPr>
            <w:tcW w:w="6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Descripción 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Modalidad</w:t>
            </w:r>
          </w:p>
        </w:tc>
      </w:tr>
      <w:tr w:rsidR="009E2B6C">
        <w:trPr>
          <w:trHeight w:val="5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6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B6C" w:rsidRDefault="009E2B6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Bienvenida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Reconocimiento de la plataforma del curso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Módulo 1: Nivelación conceptos gestión de riesgo de desastres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Institucional y Gestión del Riesgo de Desastres en Chile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Magistral: Estado del arte de riesgo de desastres y cambio climático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Módulo 2: Sistema Nacional de Inversiones (MDSF)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Introducción al Sistema Nacional de Inversiones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Presentaciones de Alumnos de sus SNI y vínculo con GRD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Módulo 3: Introducción a la Formulación y evaluación social de proyectos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Introducción a la Economía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Formulación de proyectos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Evaluación social de proyectos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magistral: Medición de bienestar más allá de lo tradicional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Módulo 4: Sustentabilidad en inversión pública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Cambio climático e inversión pública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Precio Social del Carbono - Avances en el SNI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Precio Social del Carbono - Teoría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Eficiencia energética para proyectos de edificación pública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Módulo 5: Enfoque </w:t>
            </w:r>
            <w:proofErr w:type="spellStart"/>
            <w:r>
              <w:rPr>
                <w:b/>
                <w:sz w:val="14"/>
                <w:szCs w:val="14"/>
              </w:rPr>
              <w:t>Multicriterio</w:t>
            </w:r>
            <w:proofErr w:type="spellEnd"/>
            <w:r>
              <w:rPr>
                <w:b/>
                <w:sz w:val="14"/>
                <w:szCs w:val="14"/>
              </w:rPr>
              <w:t xml:space="preserve"> para incorporar la sustentabilidad en inversión pública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Clase magistral: Enfoque </w:t>
            </w:r>
            <w:proofErr w:type="spellStart"/>
            <w:r>
              <w:rPr>
                <w:sz w:val="14"/>
                <w:szCs w:val="14"/>
              </w:rPr>
              <w:t>Multicriterio</w:t>
            </w:r>
            <w:proofErr w:type="spellEnd"/>
            <w:r>
              <w:rPr>
                <w:sz w:val="14"/>
                <w:szCs w:val="14"/>
              </w:rPr>
              <w:t xml:space="preserve"> y el Sistema Nacional de Inversiones - Teórico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Enfoque </w:t>
            </w:r>
            <w:proofErr w:type="spellStart"/>
            <w:r>
              <w:rPr>
                <w:sz w:val="14"/>
                <w:szCs w:val="14"/>
              </w:rPr>
              <w:t>Multicriterio</w:t>
            </w:r>
            <w:proofErr w:type="spellEnd"/>
            <w:r>
              <w:rPr>
                <w:sz w:val="14"/>
                <w:szCs w:val="14"/>
              </w:rPr>
              <w:t xml:space="preserve"> - En la práctica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Aplicación del enfoque </w:t>
            </w:r>
            <w:proofErr w:type="spellStart"/>
            <w:r>
              <w:rPr>
                <w:sz w:val="14"/>
                <w:szCs w:val="14"/>
              </w:rPr>
              <w:t>multicriterio</w:t>
            </w:r>
            <w:proofErr w:type="spellEnd"/>
            <w:r>
              <w:rPr>
                <w:sz w:val="14"/>
                <w:szCs w:val="14"/>
              </w:rPr>
              <w:t xml:space="preserve"> en metodologías de evaluación social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Presentaciones de alumnos: Buenas prácticas en sustentabilidad en LAC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300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Módulo 6: Metodología de evaluación de riesgo de desastres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Incorporación de la variable de riesgo de desastres en la evaluación social en Chile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Metodología complementaria de evaluación de riesgo de desastres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Presentación experiencia japonesa en la integración de RD en la evaluación de proyectos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Módulo 6.1:  Amenaza por tsunami y terremotos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Paso 1: ¿Cómo abordar el desarrollo de un modelo conceptual para el desarrollo metodológico?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Magistral: Casos de aplicación de modelos y simulaciones de tsunami y terremotos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Presentación de alumnos: Amenazas presentes en sus países y enfoques empleados en sus países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Guía de vías de evacuación por tsunami - Experiencia de Ministerio de Vivienda de Urbanismo de Chile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Caso aplicado evacuación por tsunami - Experiencia de Ministerio de Obras Públicas de Chile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Módulo 6.2: Amenaza por Incendios Forestales y análisis de infraestructura crítica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Infraestructura crítica/criticidad del servicio - Plataforma Nacional ONEMI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Paso 2: Metodología RRD de Chile: Definición de Infraestructura Crítica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Experiencia del Programa Quiero mi Barrio - Barrio Santa Cruz. Incendios forestales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Visita virtual: Barrio la Cruz en PQMB - Amenaza por incendios forestales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Presentación alumnos de las amenazas seleccionada y propuesta de modelo conceptual.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Módulo 6.3: Amenaza por remoción en masa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Seminario: Umbrales técnicos y matemáticos para modelos </w:t>
            </w:r>
            <w:proofErr w:type="spellStart"/>
            <w:r>
              <w:rPr>
                <w:sz w:val="14"/>
                <w:szCs w:val="14"/>
              </w:rPr>
              <w:t>multicriterio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Experiencia en Remoción en masa </w:t>
            </w:r>
            <w:proofErr w:type="spellStart"/>
            <w:r>
              <w:rPr>
                <w:sz w:val="14"/>
                <w:szCs w:val="14"/>
              </w:rPr>
              <w:t>Serviu</w:t>
            </w:r>
            <w:proofErr w:type="spellEnd"/>
            <w:r>
              <w:rPr>
                <w:sz w:val="14"/>
                <w:szCs w:val="14"/>
              </w:rPr>
              <w:t xml:space="preserve"> RM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Paso 3 y 4: Desarrollo del modelo </w:t>
            </w:r>
            <w:proofErr w:type="spellStart"/>
            <w:r>
              <w:rPr>
                <w:sz w:val="14"/>
                <w:szCs w:val="14"/>
              </w:rPr>
              <w:t>multicriterio</w:t>
            </w:r>
            <w:proofErr w:type="spellEnd"/>
            <w:r>
              <w:rPr>
                <w:sz w:val="14"/>
                <w:szCs w:val="14"/>
              </w:rPr>
              <w:t xml:space="preserve"> (métricas y escalas), umbrales y calibración (</w:t>
            </w:r>
            <w:proofErr w:type="spellStart"/>
            <w:r>
              <w:rPr>
                <w:sz w:val="14"/>
                <w:szCs w:val="14"/>
              </w:rPr>
              <w:t>workshop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Módulo 6.4: Herramientas y plan de capacitaciones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Paso 5: Programación, diseño y estructura de una herramienta básica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Clase Magistral: Identificación y definición de criterios de decisión para la evaluación social de proyectos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Paso 6: Cómo diseñar un programa de capacitaciones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48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Presentación del modelo </w:t>
            </w:r>
            <w:proofErr w:type="spellStart"/>
            <w:r>
              <w:rPr>
                <w:sz w:val="14"/>
                <w:szCs w:val="14"/>
              </w:rPr>
              <w:t>multicriterio</w:t>
            </w:r>
            <w:proofErr w:type="spellEnd"/>
            <w:r>
              <w:rPr>
                <w:sz w:val="14"/>
                <w:szCs w:val="14"/>
              </w:rPr>
              <w:t xml:space="preserve"> y propuesta del criterio de decisión para la selección de la alternativa más conveniente.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6201B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Módulo 7: Instrumentos de Política Pública para la Respuesta en GRD - Caso Chile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Herramientas Post Desastres (FIBE)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Evaluación estructural - respuesta MINVU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Caso SERVIU RM - Aplicación de instrumentos de respuesta post desastre. Caso Cajón del Maipo.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Plataforma Virtual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Experiencias internacionales del levantamiento de información post desastres y dialogo regional.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Presentación final del plan de acción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Clase sincrónica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2B6C">
        <w:trPr>
          <w:trHeight w:val="240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6C" w:rsidRDefault="009E2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Cierre del curso (WEBINAR)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B6C" w:rsidRDefault="006201B7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4" w:type="dxa"/>
            <w:vAlign w:val="center"/>
          </w:tcPr>
          <w:p w:rsidR="009E2B6C" w:rsidRDefault="009E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9E2B6C" w:rsidRDefault="006201B7">
      <w:pPr>
        <w:spacing w:before="280" w:after="280" w:line="240" w:lineRule="auto"/>
        <w:ind w:left="360"/>
        <w:jc w:val="both"/>
        <w:rPr>
          <w:b/>
        </w:rPr>
      </w:pPr>
      <w:r>
        <w:rPr>
          <w:b/>
        </w:rPr>
        <w:t>XV. CONTACTOS</w:t>
      </w:r>
    </w:p>
    <w:p w:rsidR="009E2B6C" w:rsidRDefault="006201B7">
      <w:pPr>
        <w:spacing w:after="0"/>
        <w:jc w:val="both"/>
      </w:pPr>
      <w:r>
        <w:rPr>
          <w:b/>
        </w:rPr>
        <w:t>Ministerio de Desarrollo Social y Familia</w:t>
      </w:r>
    </w:p>
    <w:p w:rsidR="009E2B6C" w:rsidRDefault="006201B7">
      <w:pPr>
        <w:spacing w:after="0"/>
        <w:jc w:val="both"/>
      </w:pPr>
      <w:r>
        <w:t>Catedral 1575.</w:t>
      </w:r>
    </w:p>
    <w:p w:rsidR="009E2B6C" w:rsidRDefault="006201B7">
      <w:pPr>
        <w:spacing w:after="0"/>
        <w:jc w:val="both"/>
      </w:pPr>
      <w:r>
        <w:t>Santiago. Chile</w:t>
      </w:r>
    </w:p>
    <w:p w:rsidR="009E2B6C" w:rsidRDefault="006201B7">
      <w:pPr>
        <w:spacing w:after="0" w:line="240" w:lineRule="auto"/>
      </w:pPr>
      <w:r>
        <w:t>(</w:t>
      </w:r>
      <w:hyperlink r:id="rId12">
        <w:r>
          <w:t>+562) 26751400</w:t>
        </w:r>
      </w:hyperlink>
    </w:p>
    <w:p w:rsidR="009E2B6C" w:rsidRDefault="006201B7">
      <w:pPr>
        <w:spacing w:after="0" w:line="240" w:lineRule="auto"/>
      </w:pPr>
      <w:r>
        <w:t xml:space="preserve">Email: </w:t>
      </w:r>
      <w:hyperlink r:id="rId13">
        <w:r>
          <w:rPr>
            <w:color w:val="0563C1"/>
            <w:u w:val="single"/>
          </w:rPr>
          <w:t>nvillarm@desarrollosocial.cl</w:t>
        </w:r>
      </w:hyperlink>
    </w:p>
    <w:p w:rsidR="009E2B6C" w:rsidRDefault="006201B7">
      <w:pPr>
        <w:spacing w:after="0"/>
        <w:jc w:val="both"/>
      </w:pPr>
      <w:r>
        <w:t xml:space="preserve"> </w:t>
      </w:r>
    </w:p>
    <w:p w:rsidR="009E2B6C" w:rsidRDefault="006201B7">
      <w:pPr>
        <w:spacing w:after="0"/>
        <w:jc w:val="both"/>
        <w:rPr>
          <w:b/>
        </w:rPr>
      </w:pPr>
      <w:r>
        <w:rPr>
          <w:b/>
        </w:rPr>
        <w:t>JICA completar por favor</w:t>
      </w:r>
    </w:p>
    <w:p w:rsidR="009E2B6C" w:rsidRDefault="006201B7">
      <w:pPr>
        <w:spacing w:after="0"/>
        <w:jc w:val="both"/>
        <w:rPr>
          <w:b/>
        </w:rPr>
      </w:pPr>
      <w:r>
        <w:rPr>
          <w:b/>
        </w:rPr>
        <w:t>Agencia de Cooperación Internacional del Japón (JICA)</w:t>
      </w:r>
    </w:p>
    <w:p w:rsidR="009E2B6C" w:rsidRDefault="006201B7">
      <w:pPr>
        <w:spacing w:after="0"/>
        <w:jc w:val="both"/>
      </w:pPr>
      <w:r>
        <w:t xml:space="preserve">Dirección Orinoco 90, Oficina 1903, Las Condes. </w:t>
      </w:r>
    </w:p>
    <w:p w:rsidR="009E2B6C" w:rsidRDefault="006201B7">
      <w:pPr>
        <w:spacing w:after="0"/>
        <w:jc w:val="both"/>
      </w:pPr>
      <w:r>
        <w:t>Santiago, Chile.</w:t>
      </w:r>
    </w:p>
    <w:p w:rsidR="009E2B6C" w:rsidRDefault="006201B7">
      <w:pPr>
        <w:spacing w:after="0"/>
        <w:jc w:val="both"/>
      </w:pPr>
      <w:r>
        <w:t>+56 22 752 6720</w:t>
      </w:r>
    </w:p>
    <w:p w:rsidR="009E2B6C" w:rsidRDefault="006201B7">
      <w:pPr>
        <w:spacing w:after="0"/>
        <w:jc w:val="both"/>
      </w:pPr>
      <w:hyperlink r:id="rId14">
        <w:r>
          <w:rPr>
            <w:color w:val="0563C1"/>
            <w:u w:val="single"/>
          </w:rPr>
          <w:t>Soto-alejandra@jica.co.jp</w:t>
        </w:r>
      </w:hyperlink>
      <w:r>
        <w:t xml:space="preserve"> </w:t>
      </w:r>
    </w:p>
    <w:p w:rsidR="009E2B6C" w:rsidRDefault="009E2B6C">
      <w:pPr>
        <w:spacing w:after="0"/>
        <w:jc w:val="both"/>
      </w:pPr>
    </w:p>
    <w:p w:rsidR="009E2B6C" w:rsidRDefault="006201B7">
      <w:pPr>
        <w:spacing w:after="0"/>
        <w:jc w:val="both"/>
      </w:pPr>
      <w:r>
        <w:rPr>
          <w:b/>
        </w:rPr>
        <w:t>Agencia Chilena de Cooperación Internaci</w:t>
      </w:r>
      <w:r>
        <w:rPr>
          <w:b/>
        </w:rPr>
        <w:t>onal para el Desarrollo AGCID</w:t>
      </w:r>
      <w:r>
        <w:t xml:space="preserve"> </w:t>
      </w:r>
    </w:p>
    <w:p w:rsidR="009E2B6C" w:rsidRDefault="006201B7">
      <w:pPr>
        <w:spacing w:after="0"/>
        <w:jc w:val="both"/>
      </w:pPr>
      <w:r>
        <w:t xml:space="preserve">Teatinos 180, Piso 8. </w:t>
      </w:r>
    </w:p>
    <w:p w:rsidR="009E2B6C" w:rsidRDefault="006201B7">
      <w:pPr>
        <w:spacing w:after="0"/>
        <w:jc w:val="both"/>
      </w:pPr>
      <w:r>
        <w:t>Santiago, Chile</w:t>
      </w:r>
    </w:p>
    <w:p w:rsidR="009E2B6C" w:rsidRDefault="006201B7">
      <w:pPr>
        <w:spacing w:after="0"/>
        <w:jc w:val="both"/>
      </w:pPr>
      <w:r>
        <w:t>+56 22 827 5700</w:t>
      </w:r>
    </w:p>
    <w:p w:rsidR="009E2B6C" w:rsidRDefault="006201B7">
      <w:pPr>
        <w:spacing w:after="0"/>
        <w:jc w:val="both"/>
        <w:rPr>
          <w:color w:val="0563C1"/>
          <w:u w:val="single"/>
        </w:rPr>
      </w:pPr>
      <w:hyperlink r:id="rId15">
        <w:r>
          <w:rPr>
            <w:color w:val="0563C1"/>
            <w:u w:val="single"/>
          </w:rPr>
          <w:t>agencia@agci.gob.cl</w:t>
        </w:r>
      </w:hyperlink>
    </w:p>
    <w:sectPr w:rsidR="009E2B6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6CA2"/>
    <w:multiLevelType w:val="multilevel"/>
    <w:tmpl w:val="950C82A6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90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68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22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64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6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48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900" w:hanging="420"/>
      </w:pPr>
      <w:rPr>
        <w:vertAlign w:val="baseline"/>
      </w:rPr>
    </w:lvl>
  </w:abstractNum>
  <w:abstractNum w:abstractNumId="1">
    <w:nsid w:val="31FB282A"/>
    <w:multiLevelType w:val="multilevel"/>
    <w:tmpl w:val="2FD20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2F39B5"/>
    <w:multiLevelType w:val="multilevel"/>
    <w:tmpl w:val="3EE4079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42420E15"/>
    <w:multiLevelType w:val="multilevel"/>
    <w:tmpl w:val="DA301EFE"/>
    <w:lvl w:ilvl="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7636265"/>
    <w:multiLevelType w:val="multilevel"/>
    <w:tmpl w:val="03866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01E4810"/>
    <w:multiLevelType w:val="multilevel"/>
    <w:tmpl w:val="94C4A87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48727D"/>
    <w:multiLevelType w:val="multilevel"/>
    <w:tmpl w:val="F426E3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A72CC"/>
    <w:multiLevelType w:val="multilevel"/>
    <w:tmpl w:val="90B85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3CB250D"/>
    <w:multiLevelType w:val="multilevel"/>
    <w:tmpl w:val="4224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6C"/>
    <w:rsid w:val="006201B7"/>
    <w:rsid w:val="009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466122-A1CB-467D-8DA0-12979F69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7612B"/>
    <w:pPr>
      <w:widowControl w:val="0"/>
      <w:autoSpaceDE w:val="0"/>
      <w:autoSpaceDN w:val="0"/>
      <w:spacing w:after="0" w:line="240" w:lineRule="auto"/>
      <w:ind w:left="810" w:hanging="708"/>
      <w:outlineLvl w:val="0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527DA5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link w:val="PuestoCar"/>
    <w:qFormat/>
    <w:rsid w:val="00527DA5"/>
    <w:pPr>
      <w:widowControl w:val="0"/>
      <w:spacing w:after="0" w:line="240" w:lineRule="auto"/>
      <w:jc w:val="center"/>
    </w:pPr>
    <w:rPr>
      <w:rFonts w:ascii="Garamond" w:eastAsia="Times New Roman" w:hAnsi="Garamond" w:cs="Times New Roman"/>
      <w:b/>
      <w:snapToGrid w:val="0"/>
      <w:color w:val="0000FF"/>
      <w:sz w:val="24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16C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B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B16C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67612B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761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612B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852A9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0C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039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9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9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9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95B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39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39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395B"/>
    <w:rPr>
      <w:vertAlign w:val="superscript"/>
    </w:rPr>
  </w:style>
  <w:style w:type="paragraph" w:styleId="Revisin">
    <w:name w:val="Revision"/>
    <w:hidden/>
    <w:uiPriority w:val="99"/>
    <w:semiHidden/>
    <w:rsid w:val="00CB60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5543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rsid w:val="00527DA5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PuestoCar">
    <w:name w:val="Puesto Car"/>
    <w:basedOn w:val="Fuentedeprrafopredeter"/>
    <w:link w:val="Puesto"/>
    <w:rsid w:val="00527DA5"/>
    <w:rPr>
      <w:rFonts w:ascii="Garamond" w:eastAsia="Times New Roman" w:hAnsi="Garamond" w:cs="Times New Roman"/>
      <w:b/>
      <w:snapToGrid w:val="0"/>
      <w:color w:val="0000FF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527DA5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PiedepginaCar">
    <w:name w:val="Pie de página Car"/>
    <w:basedOn w:val="Fuentedeprrafopredeter"/>
    <w:link w:val="Piedepgina"/>
    <w:rsid w:val="00527DA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oindependiente3">
    <w:name w:val="Body Text 3"/>
    <w:basedOn w:val="Normal"/>
    <w:link w:val="Textoindependiente3Car"/>
    <w:rsid w:val="00527DA5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Textoindependiente3Car">
    <w:name w:val="Texto independiente 3 Car"/>
    <w:basedOn w:val="Fuentedeprrafopredeter"/>
    <w:link w:val="Textoindependiente3"/>
    <w:rsid w:val="00527DA5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Encabezado">
    <w:name w:val="header"/>
    <w:basedOn w:val="Normal"/>
    <w:link w:val="EncabezadoCar"/>
    <w:unhideWhenUsed/>
    <w:rsid w:val="004F5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EF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villarm@desarrollosocial.c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gci.cl" TargetMode="External"/><Relationship Id="rId12" Type="http://schemas.openxmlformats.org/officeDocument/2006/relationships/hyperlink" Target="tel:+562267514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esarrollosocialyfamilia.gob.c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gencia@agci.gob.cl" TargetMode="Externa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Soto-alejandra@jica.co.j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DyYIJ+3PWZP1JupEpDmKwYEETQ==">AMUW2mUev8a0H+bv94SxLRlkCu3QbtdcEQI4EgLY5LhwE6v4KjFri3Zveg+rG4hUAplzOwa75pAiI0+jjx7kd8Hcx37itzlrzY+Su4C4wGQf4sZLvwFPuzE=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2597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Manuel</cp:lastModifiedBy>
  <cp:revision>2</cp:revision>
  <cp:lastPrinted>2023-01-17T15:51:00Z</cp:lastPrinted>
  <dcterms:created xsi:type="dcterms:W3CDTF">2023-01-17T15:53:00Z</dcterms:created>
  <dcterms:modified xsi:type="dcterms:W3CDTF">2023-01-17T15:53:00Z</dcterms:modified>
</cp:coreProperties>
</file>