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3B" w:rsidRDefault="00766B86">
      <w:pPr>
        <w:spacing w:afterLines="50" w:after="156" w:line="500" w:lineRule="exact"/>
        <w:jc w:val="center"/>
      </w:pPr>
      <w:r>
        <w:rPr>
          <w:rFonts w:eastAsia="SimHei"/>
          <w:b/>
          <w:sz w:val="36"/>
          <w:szCs w:val="36"/>
          <w:lang w:val="es-ES"/>
        </w:rPr>
        <w:t>Descripción del Proyecto</w:t>
      </w: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2459"/>
        <w:gridCol w:w="61"/>
        <w:gridCol w:w="1374"/>
        <w:gridCol w:w="720"/>
        <w:gridCol w:w="1385"/>
        <w:gridCol w:w="2551"/>
      </w:tblGrid>
      <w:tr w:rsidR="00D40A3B" w:rsidRPr="00766B86">
        <w:trPr>
          <w:trHeight w:hRule="exact" w:val="47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  <w:lang w:val="es-ES"/>
              </w:rPr>
              <w:t>Nombre</w:t>
            </w:r>
          </w:p>
        </w:tc>
        <w:tc>
          <w:tcPr>
            <w:tcW w:w="8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spacing w:line="280" w:lineRule="exact"/>
              <w:jc w:val="center"/>
              <w:rPr>
                <w:color w:val="000000"/>
                <w:lang w:val="es-ES"/>
              </w:rPr>
            </w:pPr>
            <w:bookmarkStart w:id="0" w:name="_GoBack"/>
            <w:r>
              <w:rPr>
                <w:color w:val="000000"/>
                <w:lang w:val="es-ES"/>
              </w:rPr>
              <w:t>Seminario sobre Promoción de Inversión y Cooperación para los Países Latinoamericanos en 2017</w:t>
            </w:r>
            <w:bookmarkEnd w:id="0"/>
          </w:p>
        </w:tc>
      </w:tr>
      <w:tr w:rsidR="00D40A3B" w:rsidRPr="00766B86">
        <w:trPr>
          <w:trHeight w:hRule="exact" w:val="57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spacing w:line="280" w:lineRule="exac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Organiz</w:t>
            </w:r>
            <w:proofErr w:type="spellEnd"/>
            <w:r>
              <w:rPr>
                <w:color w:val="000000"/>
                <w:lang w:val="es-ES"/>
              </w:rPr>
              <w:t>ador</w:t>
            </w:r>
          </w:p>
        </w:tc>
        <w:tc>
          <w:tcPr>
            <w:tcW w:w="8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spacing w:line="280" w:lineRule="exact"/>
              <w:jc w:val="center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Centro de Formación de Oficiales de Comercio Exterior y Cooperación Económica de la Provincia de Fujian</w:t>
            </w:r>
          </w:p>
        </w:tc>
      </w:tr>
      <w:tr w:rsidR="00D40A3B">
        <w:trPr>
          <w:trHeight w:hRule="exact" w:val="47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spacing w:line="280" w:lineRule="exact"/>
              <w:jc w:val="center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Tiempo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spacing w:line="280" w:lineRule="exact"/>
              <w:jc w:val="center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De </w:t>
            </w:r>
            <w:r>
              <w:rPr>
                <w:rFonts w:hint="eastAsia"/>
                <w:color w:val="000000"/>
                <w:lang w:val="es-ES"/>
              </w:rPr>
              <w:t>7</w:t>
            </w:r>
            <w:r>
              <w:rPr>
                <w:color w:val="000000"/>
                <w:lang w:val="es-ES"/>
              </w:rPr>
              <w:t xml:space="preserve"> de </w:t>
            </w:r>
            <w:r>
              <w:rPr>
                <w:rFonts w:hint="eastAsia"/>
                <w:color w:val="000000"/>
                <w:lang w:val="es-ES"/>
              </w:rPr>
              <w:t>abril</w:t>
            </w:r>
            <w:r>
              <w:rPr>
                <w:color w:val="000000"/>
                <w:lang w:val="es-ES"/>
              </w:rPr>
              <w:t xml:space="preserve"> a </w:t>
            </w:r>
            <w:r>
              <w:rPr>
                <w:rFonts w:hint="eastAsia"/>
                <w:color w:val="000000"/>
                <w:lang w:val="es-ES"/>
              </w:rPr>
              <w:t>27</w:t>
            </w:r>
            <w:r>
              <w:rPr>
                <w:color w:val="000000"/>
                <w:lang w:val="es-ES"/>
              </w:rPr>
              <w:t xml:space="preserve"> de</w:t>
            </w:r>
            <w:r>
              <w:rPr>
                <w:rFonts w:hint="eastAsia"/>
                <w:color w:val="000000"/>
                <w:lang w:val="es-ES"/>
              </w:rPr>
              <w:t xml:space="preserve"> abril</w:t>
            </w:r>
            <w:r>
              <w:rPr>
                <w:color w:val="000000"/>
                <w:lang w:val="es-ES"/>
              </w:rPr>
              <w:t xml:space="preserve"> de 2017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spacing w:line="280" w:lineRule="exact"/>
              <w:jc w:val="center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Lengua</w:t>
            </w:r>
            <w:r>
              <w:rPr>
                <w:color w:val="000000"/>
              </w:rPr>
              <w:t xml:space="preserve"> de </w:t>
            </w:r>
            <w:r>
              <w:rPr>
                <w:color w:val="000000"/>
                <w:lang w:val="es-ES"/>
              </w:rPr>
              <w:t>enseñanza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spacing w:line="280" w:lineRule="exact"/>
              <w:jc w:val="center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Español</w:t>
            </w:r>
          </w:p>
        </w:tc>
      </w:tr>
      <w:tr w:rsidR="00D40A3B" w:rsidRPr="00766B86">
        <w:trPr>
          <w:trHeight w:hRule="exact" w:val="116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  <w:lang w:val="es-ES"/>
              </w:rPr>
              <w:t>Invitados</w:t>
            </w:r>
          </w:p>
        </w:tc>
        <w:tc>
          <w:tcPr>
            <w:tcW w:w="8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spacing w:line="280" w:lineRule="exact"/>
              <w:ind w:firstLineChars="200" w:firstLine="420"/>
              <w:jc w:val="center"/>
              <w:rPr>
                <w:color w:val="000000"/>
                <w:lang w:val="es-ES"/>
              </w:rPr>
            </w:pPr>
            <w:r>
              <w:rPr>
                <w:rFonts w:hint="eastAsia"/>
                <w:color w:val="000000"/>
                <w:lang w:val="es-ES"/>
              </w:rPr>
              <w:t xml:space="preserve">Oficiales que trabajan en la </w:t>
            </w:r>
            <w:r>
              <w:rPr>
                <w:color w:val="000000"/>
                <w:lang w:val="es-ES"/>
              </w:rPr>
              <w:t>promoción de inversión y cooperación</w:t>
            </w:r>
          </w:p>
        </w:tc>
      </w:tr>
      <w:tr w:rsidR="00D40A3B">
        <w:trPr>
          <w:trHeight w:hRule="exact" w:val="67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spacing w:line="280" w:lineRule="exact"/>
              <w:jc w:val="center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Números de participantes</w:t>
            </w:r>
          </w:p>
        </w:tc>
        <w:tc>
          <w:tcPr>
            <w:tcW w:w="8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5</w:t>
            </w:r>
          </w:p>
        </w:tc>
      </w:tr>
      <w:tr w:rsidR="00D40A3B" w:rsidRPr="00766B86">
        <w:trPr>
          <w:trHeight w:hRule="exact" w:val="567"/>
          <w:jc w:val="center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  <w:lang w:val="es-ES"/>
              </w:rPr>
              <w:t>Requisitos para los participantes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spacing w:line="280" w:lineRule="exac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Edad</w:t>
            </w:r>
            <w:proofErr w:type="spellEnd"/>
          </w:p>
        </w:tc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spacing w:line="280" w:lineRule="exact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Menos de 50 para los funcionarios de nivel </w:t>
            </w:r>
            <w:r>
              <w:rPr>
                <w:color w:val="000000"/>
                <w:lang w:val="es-ES"/>
              </w:rPr>
              <w:t>director o general; Menos de 45 para los funcionarios de nivel director de división.</w:t>
            </w:r>
          </w:p>
        </w:tc>
      </w:tr>
      <w:tr w:rsidR="00D40A3B" w:rsidRPr="00766B86">
        <w:trPr>
          <w:trHeight w:hRule="exact" w:val="2537"/>
          <w:jc w:val="center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A3B" w:rsidRDefault="00D40A3B">
            <w:pPr>
              <w:spacing w:line="280" w:lineRule="exact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  <w:lang w:val="es-ES"/>
              </w:rPr>
              <w:t>Estado de salud</w:t>
            </w:r>
          </w:p>
        </w:tc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spacing w:line="280" w:lineRule="exact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Buen estado de salud con certificado sanitario emitido por los hospitales públicos locales; sin enfermedades con las que la entrada a China no está </w:t>
            </w:r>
            <w:r>
              <w:rPr>
                <w:color w:val="000000"/>
                <w:lang w:val="es-ES"/>
              </w:rPr>
              <w:t xml:space="preserve">permitida por los reglamentos de China; sin enfermedades crónicas graves como la </w:t>
            </w:r>
            <w:proofErr w:type="spellStart"/>
            <w:r>
              <w:rPr>
                <w:color w:val="000000"/>
                <w:lang w:val="es-ES"/>
              </w:rPr>
              <w:t>hipertensióngrave</w:t>
            </w:r>
            <w:proofErr w:type="spellEnd"/>
            <w:r>
              <w:rPr>
                <w:color w:val="000000"/>
                <w:lang w:val="es-ES"/>
              </w:rPr>
              <w:t xml:space="preserve">, enfermedades cardiovasculares/cerebrovasculares y la diabetes; sin enfermedades mentales o enfermedades epidémicas que pueden amenazar la salud pública; no </w:t>
            </w:r>
            <w:r>
              <w:rPr>
                <w:color w:val="000000"/>
                <w:lang w:val="es-ES"/>
              </w:rPr>
              <w:t>en el proceso de recuperación después de una operación importante o en el proceso de enfermedades agudas; no discapacidad física grave o en embarazo.</w:t>
            </w:r>
          </w:p>
        </w:tc>
      </w:tr>
      <w:tr w:rsidR="00D40A3B" w:rsidRPr="00766B86">
        <w:trPr>
          <w:trHeight w:hRule="exact" w:val="471"/>
          <w:jc w:val="center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A3B" w:rsidRDefault="00D40A3B">
            <w:pPr>
              <w:spacing w:line="280" w:lineRule="exact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  <w:proofErr w:type="spellStart"/>
            <w:r>
              <w:rPr>
                <w:color w:val="000000"/>
                <w:lang w:val="es-ES"/>
              </w:rPr>
              <w:t>engua</w:t>
            </w:r>
            <w:proofErr w:type="spellEnd"/>
          </w:p>
        </w:tc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spacing w:line="280" w:lineRule="exact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Capaz de escuchar, hablar, leer y escribir en español</w:t>
            </w:r>
          </w:p>
        </w:tc>
      </w:tr>
      <w:tr w:rsidR="00D40A3B" w:rsidRPr="00766B86">
        <w:trPr>
          <w:trHeight w:hRule="exact" w:val="641"/>
          <w:jc w:val="center"/>
        </w:trPr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D40A3B">
            <w:pPr>
              <w:spacing w:line="280" w:lineRule="exact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val="es-ES"/>
              </w:rPr>
              <w:t>otros</w:t>
            </w:r>
          </w:p>
        </w:tc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rPr>
                <w:lang w:val="es-ES"/>
              </w:rPr>
            </w:pPr>
            <w:r>
              <w:rPr>
                <w:lang w:val="es-ES"/>
              </w:rPr>
              <w:t xml:space="preserve">El gobierno chino no pagan los </w:t>
            </w:r>
            <w:r>
              <w:rPr>
                <w:lang w:val="es-ES"/>
              </w:rPr>
              <w:t>costos de los amigos o parientes de los participantes que vienen a China durante el seminario</w:t>
            </w:r>
          </w:p>
        </w:tc>
      </w:tr>
      <w:tr w:rsidR="00D40A3B">
        <w:trPr>
          <w:trHeight w:hRule="exact" w:val="95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  <w:lang w:val="es-ES"/>
              </w:rPr>
              <w:t>Lugar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spacing w:line="280" w:lineRule="exact"/>
              <w:jc w:val="center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Fuzhou de la Provincia de Fujian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  <w:lang w:val="es-ES"/>
              </w:rPr>
              <w:t>Temperatura Local</w:t>
            </w:r>
          </w:p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snapToGrid w:val="0"/>
              <w:spacing w:line="280" w:lineRule="exact"/>
              <w:jc w:val="center"/>
              <w:rPr>
                <w:lang w:val="es-ES"/>
              </w:rPr>
            </w:pPr>
            <w:r>
              <w:rPr>
                <w:lang w:val="es-ES"/>
              </w:rPr>
              <w:t>Verano</w:t>
            </w:r>
            <w:r>
              <w:rPr>
                <w:lang w:val="es-ES"/>
              </w:rPr>
              <w:t>（</w:t>
            </w:r>
            <w:r>
              <w:rPr>
                <w:rFonts w:hint="eastAsia"/>
                <w:lang w:val="es-ES"/>
              </w:rPr>
              <w:t>16</w:t>
            </w:r>
            <w:r>
              <w:rPr>
                <w:rFonts w:ascii="SimSun" w:hAnsi="SimSun" w:cs="SimSun" w:hint="eastAsia"/>
                <w:lang w:val="es-ES"/>
              </w:rPr>
              <w:t>℃</w:t>
            </w:r>
            <w:r>
              <w:rPr>
                <w:lang w:val="es-ES"/>
              </w:rPr>
              <w:t>-</w:t>
            </w:r>
            <w:r>
              <w:rPr>
                <w:rFonts w:hint="eastAsia"/>
                <w:lang w:val="es-ES"/>
              </w:rPr>
              <w:t>24</w:t>
            </w:r>
            <w:r>
              <w:rPr>
                <w:rFonts w:ascii="SimSun" w:hAnsi="SimSun" w:cs="SimSun" w:hint="eastAsia"/>
                <w:lang w:val="es-ES"/>
              </w:rPr>
              <w:t>℃</w:t>
            </w:r>
            <w:r>
              <w:rPr>
                <w:lang w:val="es-ES"/>
              </w:rPr>
              <w:t>）</w:t>
            </w:r>
          </w:p>
        </w:tc>
      </w:tr>
      <w:tr w:rsidR="00D40A3B">
        <w:trPr>
          <w:trHeight w:hRule="exact" w:val="1325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spacing w:line="280" w:lineRule="exact"/>
              <w:jc w:val="center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Ciudades para visitar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spacing w:line="280" w:lineRule="exact"/>
              <w:rPr>
                <w:color w:val="000000"/>
                <w:lang w:val="es-ES"/>
              </w:rPr>
            </w:pPr>
            <w:r>
              <w:rPr>
                <w:rFonts w:hint="eastAsia"/>
                <w:color w:val="000000"/>
                <w:lang w:val="es-ES"/>
              </w:rPr>
              <w:t>Haikou</w:t>
            </w:r>
            <w:r>
              <w:rPr>
                <w:color w:val="000000"/>
                <w:lang w:val="es-ES"/>
              </w:rPr>
              <w:t xml:space="preserve"> de la Provincia de </w:t>
            </w:r>
            <w:proofErr w:type="spellStart"/>
            <w:r>
              <w:rPr>
                <w:rFonts w:hint="eastAsia"/>
                <w:color w:val="000000"/>
                <w:lang w:val="es-ES"/>
              </w:rPr>
              <w:t>Hainan,</w:t>
            </w:r>
            <w:r>
              <w:rPr>
                <w:color w:val="000000"/>
                <w:lang w:val="es-ES"/>
              </w:rPr>
              <w:t>Xiamen</w:t>
            </w:r>
            <w:proofErr w:type="spellEnd"/>
            <w:r>
              <w:rPr>
                <w:color w:val="000000"/>
                <w:lang w:val="es-ES"/>
              </w:rPr>
              <w:t xml:space="preserve">, </w:t>
            </w:r>
            <w:proofErr w:type="spellStart"/>
            <w:r>
              <w:rPr>
                <w:color w:val="000000"/>
                <w:lang w:val="es-ES"/>
              </w:rPr>
              <w:t>Quanzhou</w:t>
            </w:r>
            <w:proofErr w:type="spellEnd"/>
            <w:r>
              <w:rPr>
                <w:color w:val="000000"/>
                <w:lang w:val="es-ES"/>
              </w:rPr>
              <w:t xml:space="preserve"> de la provincia</w:t>
            </w:r>
            <w:r>
              <w:rPr>
                <w:color w:val="000000"/>
                <w:lang w:val="es-ES"/>
              </w:rPr>
              <w:t xml:space="preserve"> de Fujian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  <w:lang w:val="es-ES"/>
              </w:rPr>
              <w:t>Temperatura Local</w:t>
            </w:r>
          </w:p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suppressAutoHyphens/>
              <w:spacing w:line="420" w:lineRule="exact"/>
              <w:ind w:right="-288" w:firstLine="420"/>
              <w:rPr>
                <w:color w:val="000000"/>
                <w:szCs w:val="21"/>
                <w:lang w:val="es-ES"/>
              </w:rPr>
            </w:pPr>
            <w:r>
              <w:rPr>
                <w:color w:val="000000"/>
                <w:lang w:val="es-ES"/>
              </w:rPr>
              <w:t>Temperatura</w:t>
            </w:r>
            <w:r>
              <w:rPr>
                <w:color w:val="000000"/>
                <w:lang w:val="es-ES"/>
              </w:rPr>
              <w:t>：</w:t>
            </w:r>
            <w:r>
              <w:rPr>
                <w:rFonts w:hint="eastAsia"/>
                <w:color w:val="000000"/>
                <w:lang w:val="es-ES"/>
              </w:rPr>
              <w:t>Hainan</w:t>
            </w:r>
            <w:r>
              <w:rPr>
                <w:rFonts w:hint="eastAsia"/>
                <w:color w:val="000000"/>
                <w:szCs w:val="21"/>
                <w:lang w:val="es-ES"/>
              </w:rPr>
              <w:t>24</w:t>
            </w:r>
            <w:r>
              <w:rPr>
                <w:rFonts w:ascii="SimSun" w:hAnsi="SimSun" w:cs="SimSun" w:hint="eastAsia"/>
                <w:szCs w:val="21"/>
                <w:lang w:val="es-ES"/>
              </w:rPr>
              <w:t>℃</w:t>
            </w:r>
            <w:r>
              <w:rPr>
                <w:color w:val="000000"/>
                <w:szCs w:val="21"/>
                <w:lang w:val="es-ES"/>
              </w:rPr>
              <w:t>-</w:t>
            </w:r>
            <w:r>
              <w:rPr>
                <w:rFonts w:hint="eastAsia"/>
                <w:color w:val="000000"/>
                <w:szCs w:val="21"/>
                <w:lang w:val="es-ES"/>
              </w:rPr>
              <w:t>30</w:t>
            </w:r>
            <w:r>
              <w:rPr>
                <w:rFonts w:ascii="SimSun" w:hAnsi="SimSun" w:cs="SimSun" w:hint="eastAsia"/>
                <w:szCs w:val="21"/>
                <w:lang w:val="es-ES"/>
              </w:rPr>
              <w:t>℃</w:t>
            </w:r>
          </w:p>
          <w:p w:rsidR="00D40A3B" w:rsidRDefault="00766B86">
            <w:pPr>
              <w:suppressAutoHyphens/>
              <w:spacing w:line="420" w:lineRule="exact"/>
              <w:ind w:right="-288" w:firstLine="420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Temperatura</w:t>
            </w:r>
            <w:r>
              <w:rPr>
                <w:color w:val="000000"/>
                <w:lang w:val="es-ES"/>
              </w:rPr>
              <w:t>：</w:t>
            </w:r>
            <w:proofErr w:type="spellStart"/>
            <w:r>
              <w:rPr>
                <w:color w:val="000000"/>
                <w:lang w:val="es-ES"/>
              </w:rPr>
              <w:t>Xiamen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r>
              <w:rPr>
                <w:rFonts w:hint="eastAsia"/>
                <w:color w:val="000000"/>
                <w:lang w:val="es-ES"/>
              </w:rPr>
              <w:t>17</w:t>
            </w:r>
            <w:r>
              <w:rPr>
                <w:rFonts w:ascii="SimSun" w:hAnsi="SimSun" w:cs="SimSun" w:hint="eastAsia"/>
                <w:color w:val="000000"/>
                <w:lang w:val="es-ES"/>
              </w:rPr>
              <w:t>℃</w:t>
            </w:r>
            <w:r>
              <w:rPr>
                <w:color w:val="000000"/>
                <w:lang w:val="es-ES"/>
              </w:rPr>
              <w:t>-</w:t>
            </w:r>
            <w:r>
              <w:rPr>
                <w:rFonts w:hint="eastAsia"/>
                <w:color w:val="000000"/>
                <w:lang w:val="es-ES"/>
              </w:rPr>
              <w:t>25</w:t>
            </w:r>
            <w:r>
              <w:rPr>
                <w:rFonts w:ascii="SimSun" w:hAnsi="SimSun" w:cs="SimSun" w:hint="eastAsia"/>
                <w:color w:val="000000"/>
                <w:lang w:val="es-ES"/>
              </w:rPr>
              <w:t>℃</w:t>
            </w:r>
          </w:p>
          <w:p w:rsidR="00D40A3B" w:rsidRDefault="00766B86">
            <w:pPr>
              <w:suppressAutoHyphens/>
              <w:spacing w:line="420" w:lineRule="exact"/>
              <w:ind w:right="-288" w:firstLine="420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Temperatura</w:t>
            </w:r>
            <w:r>
              <w:rPr>
                <w:color w:val="000000"/>
                <w:lang w:val="es-ES"/>
              </w:rPr>
              <w:t>：</w:t>
            </w:r>
            <w:r>
              <w:rPr>
                <w:color w:val="000000"/>
                <w:lang w:val="es-ES"/>
              </w:rPr>
              <w:t>Quanzhou</w:t>
            </w:r>
            <w:r>
              <w:rPr>
                <w:rFonts w:hint="eastAsia"/>
                <w:color w:val="000000"/>
                <w:szCs w:val="21"/>
                <w:lang w:val="es-ES"/>
              </w:rPr>
              <w:t>17</w:t>
            </w:r>
            <w:r>
              <w:rPr>
                <w:rFonts w:ascii="SimSun" w:hAnsi="SimSun" w:cs="SimSun" w:hint="eastAsia"/>
                <w:szCs w:val="21"/>
                <w:lang w:val="es-ES"/>
              </w:rPr>
              <w:t>℃</w:t>
            </w:r>
            <w:r>
              <w:rPr>
                <w:color w:val="000000"/>
                <w:szCs w:val="21"/>
                <w:lang w:val="es-ES"/>
              </w:rPr>
              <w:t>-</w:t>
            </w:r>
            <w:r>
              <w:rPr>
                <w:rFonts w:hint="eastAsia"/>
                <w:color w:val="000000"/>
                <w:szCs w:val="21"/>
                <w:lang w:val="es-ES"/>
              </w:rPr>
              <w:t>25</w:t>
            </w:r>
            <w:r>
              <w:rPr>
                <w:rFonts w:ascii="SimSun" w:hAnsi="SimSun" w:cs="SimSun" w:hint="eastAsia"/>
                <w:szCs w:val="21"/>
                <w:lang w:val="es-ES"/>
              </w:rPr>
              <w:t>℃</w:t>
            </w:r>
          </w:p>
          <w:p w:rsidR="00D40A3B" w:rsidRDefault="00D40A3B">
            <w:pPr>
              <w:suppressAutoHyphens/>
              <w:spacing w:line="420" w:lineRule="exact"/>
              <w:ind w:right="-288" w:firstLine="420"/>
              <w:rPr>
                <w:color w:val="000000"/>
                <w:lang w:val="es-ES"/>
              </w:rPr>
            </w:pPr>
          </w:p>
          <w:p w:rsidR="00D40A3B" w:rsidRDefault="00D40A3B">
            <w:pPr>
              <w:snapToGrid w:val="0"/>
              <w:spacing w:line="280" w:lineRule="exact"/>
              <w:rPr>
                <w:color w:val="000000"/>
                <w:lang w:val="es-ES"/>
              </w:rPr>
            </w:pPr>
          </w:p>
        </w:tc>
      </w:tr>
      <w:tr w:rsidR="00D40A3B">
        <w:trPr>
          <w:trHeight w:hRule="exact" w:val="67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Not</w:t>
            </w:r>
            <w:r>
              <w:rPr>
                <w:color w:val="000000"/>
                <w:lang w:val="es-ES"/>
              </w:rPr>
              <w:t>as</w:t>
            </w:r>
          </w:p>
        </w:tc>
        <w:tc>
          <w:tcPr>
            <w:tcW w:w="8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D40A3B">
            <w:pPr>
              <w:spacing w:line="280" w:lineRule="exact"/>
              <w:jc w:val="center"/>
              <w:rPr>
                <w:color w:val="000000"/>
              </w:rPr>
            </w:pPr>
          </w:p>
        </w:tc>
      </w:tr>
      <w:tr w:rsidR="00D40A3B">
        <w:trPr>
          <w:trHeight w:hRule="exact" w:val="471"/>
          <w:jc w:val="center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spacing w:line="280" w:lineRule="exact"/>
              <w:jc w:val="center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Contactos del Organizador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spacing w:line="280" w:lineRule="exact"/>
              <w:jc w:val="center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Nombre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spacing w:line="280" w:lineRule="exact"/>
              <w:jc w:val="center"/>
              <w:rPr>
                <w:color w:val="000000"/>
                <w:lang w:val="de-DE"/>
              </w:rPr>
            </w:pPr>
            <w:proofErr w:type="spellStart"/>
            <w:r>
              <w:rPr>
                <w:color w:val="000000"/>
                <w:lang w:val="es-ES"/>
              </w:rPr>
              <w:t>Sun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Binbin</w:t>
            </w:r>
            <w:proofErr w:type="spellEnd"/>
            <w:r>
              <w:rPr>
                <w:rFonts w:hint="eastAsia"/>
                <w:color w:val="000000"/>
                <w:lang w:val="es-ES"/>
              </w:rPr>
              <w:t>/</w:t>
            </w:r>
            <w:proofErr w:type="spellStart"/>
            <w:r>
              <w:rPr>
                <w:color w:val="000000"/>
                <w:lang w:val="es-ES"/>
              </w:rPr>
              <w:t>Xiong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Tunchong</w:t>
            </w:r>
            <w:proofErr w:type="spellEnd"/>
          </w:p>
        </w:tc>
      </w:tr>
      <w:tr w:rsidR="00D40A3B">
        <w:trPr>
          <w:trHeight w:hRule="exact" w:val="576"/>
          <w:jc w:val="center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A3B" w:rsidRDefault="00D40A3B">
            <w:pPr>
              <w:spacing w:line="280" w:lineRule="exact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Tel</w:t>
            </w:r>
            <w:proofErr w:type="spellStart"/>
            <w:r>
              <w:rPr>
                <w:color w:val="000000"/>
                <w:lang w:val="es-ES"/>
              </w:rPr>
              <w:t>éfono</w:t>
            </w:r>
            <w:proofErr w:type="spellEnd"/>
          </w:p>
        </w:tc>
        <w:tc>
          <w:tcPr>
            <w:tcW w:w="6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color w:val="000000"/>
                <w:szCs w:val="21"/>
              </w:rPr>
              <w:t>86-591-87576921</w:t>
            </w:r>
            <w:r>
              <w:rPr>
                <w:rFonts w:hint="eastAsia"/>
                <w:color w:val="000000"/>
                <w:szCs w:val="21"/>
              </w:rPr>
              <w:t>/+</w:t>
            </w:r>
            <w:r>
              <w:rPr>
                <w:color w:val="000000"/>
                <w:szCs w:val="21"/>
              </w:rPr>
              <w:t xml:space="preserve">86-591-87872283 </w:t>
            </w:r>
          </w:p>
        </w:tc>
      </w:tr>
      <w:tr w:rsidR="00D40A3B">
        <w:trPr>
          <w:trHeight w:hRule="exact" w:val="696"/>
          <w:jc w:val="center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A3B" w:rsidRDefault="00D40A3B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  <w:proofErr w:type="spellStart"/>
            <w:r>
              <w:rPr>
                <w:color w:val="000000"/>
                <w:lang w:val="es-ES"/>
              </w:rPr>
              <w:t>elular</w:t>
            </w:r>
            <w:proofErr w:type="spellEnd"/>
          </w:p>
        </w:tc>
        <w:tc>
          <w:tcPr>
            <w:tcW w:w="6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color w:val="000000"/>
                <w:szCs w:val="21"/>
              </w:rPr>
              <w:t>86-18805001328</w:t>
            </w:r>
            <w:r>
              <w:rPr>
                <w:rFonts w:hint="eastAsia"/>
                <w:color w:val="000000"/>
                <w:szCs w:val="21"/>
              </w:rPr>
              <w:t>/ +</w:t>
            </w:r>
            <w:r>
              <w:rPr>
                <w:color w:val="000000"/>
                <w:szCs w:val="21"/>
              </w:rPr>
              <w:t>86-13599087878</w:t>
            </w:r>
          </w:p>
        </w:tc>
      </w:tr>
      <w:tr w:rsidR="00D40A3B">
        <w:trPr>
          <w:trHeight w:hRule="exact" w:val="471"/>
          <w:jc w:val="center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A3B" w:rsidRDefault="00D40A3B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spacing w:line="280" w:lineRule="exact"/>
              <w:ind w:leftChars="-51" w:rightChars="-51" w:right="-107" w:hangingChars="51" w:hanging="107"/>
              <w:jc w:val="center"/>
              <w:rPr>
                <w:color w:val="000000"/>
              </w:rPr>
            </w:pPr>
            <w:r>
              <w:rPr>
                <w:color w:val="000000"/>
              </w:rPr>
              <w:t>Fax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+86-591-88012173</w:t>
            </w:r>
          </w:p>
        </w:tc>
      </w:tr>
      <w:tr w:rsidR="00D40A3B">
        <w:trPr>
          <w:trHeight w:hRule="exact" w:val="471"/>
          <w:jc w:val="center"/>
        </w:trPr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D40A3B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spacing w:line="280" w:lineRule="exact"/>
              <w:ind w:leftChars="-51" w:rightChars="-51" w:right="-107" w:hangingChars="51" w:hanging="107"/>
              <w:jc w:val="center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snapToGrid w:val="0"/>
              <w:spacing w:before="100" w:beforeAutospacing="1" w:after="100" w:afterAutospacing="1" w:line="300" w:lineRule="exact"/>
              <w:jc w:val="center"/>
            </w:pPr>
            <w:r>
              <w:t>newspring_c@126.com</w:t>
            </w:r>
          </w:p>
        </w:tc>
      </w:tr>
      <w:tr w:rsidR="00D40A3B" w:rsidRPr="00766B86">
        <w:trPr>
          <w:trHeight w:val="612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  <w:lang w:val="es-ES"/>
              </w:rPr>
              <w:lastRenderedPageBreak/>
              <w:t>Sobre el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Organiz</w:t>
            </w:r>
            <w:proofErr w:type="spellEnd"/>
            <w:r>
              <w:rPr>
                <w:color w:val="000000"/>
                <w:lang w:val="es-ES"/>
              </w:rPr>
              <w:t>ador</w:t>
            </w:r>
          </w:p>
        </w:tc>
        <w:tc>
          <w:tcPr>
            <w:tcW w:w="8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snapToGrid w:val="0"/>
              <w:spacing w:line="300" w:lineRule="exact"/>
              <w:ind w:firstLineChars="200" w:firstLine="420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El Centro de Formación de Oficiales de Comercio Exterior y Cooperación Económica de la Provincia de Fujian (“el centro” en abreviatura) es una institución pública </w:t>
            </w:r>
            <w:r>
              <w:rPr>
                <w:color w:val="000000"/>
                <w:lang w:val="es-ES"/>
              </w:rPr>
              <w:t>subordinada al Departamento de Comercios de la Provincia de Fujian. Se encarga de la formación de personal y la educación continua del comercio exterior, la certificación laboral de ultramar y los seminarios de ayuda exterior del Ministerio de Comercios.</w:t>
            </w:r>
          </w:p>
          <w:p w:rsidR="00D40A3B" w:rsidRDefault="00766B86">
            <w:pPr>
              <w:snapToGrid w:val="0"/>
              <w:spacing w:line="300" w:lineRule="exact"/>
              <w:ind w:firstLineChars="200" w:firstLine="420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S</w:t>
            </w:r>
            <w:r>
              <w:rPr>
                <w:color w:val="000000"/>
                <w:lang w:val="es-ES"/>
              </w:rPr>
              <w:t>ubordinado al Departamento de Comercio de la Provincia de Fujian, el Centro se encarga de desarrollo y formación de recursos humanos de ayuda exterior del Departamento de Comercio, asume la formación de cuadros del sistema de comercio exterior de la provin</w:t>
            </w:r>
            <w:r>
              <w:rPr>
                <w:color w:val="000000"/>
                <w:lang w:val="es-ES"/>
              </w:rPr>
              <w:t>cia, y la formación de trabajo, la educación en el extranjero y la certificación laboral de ultramar de personal asociado. En marzo de 2008 y mayo de 2010, el Centro fuer dado la base nacional de la formación de recursos no humanos y la base de formación p</w:t>
            </w:r>
            <w:r>
              <w:rPr>
                <w:color w:val="000000"/>
                <w:lang w:val="es-ES"/>
              </w:rPr>
              <w:t>ara cuadros internacionales de comercio por el Consejo de Estado y el Ministerio de Comercio del Estado.</w:t>
            </w:r>
          </w:p>
          <w:p w:rsidR="00D40A3B" w:rsidRDefault="00766B86">
            <w:pPr>
              <w:snapToGrid w:val="0"/>
              <w:spacing w:line="300" w:lineRule="exact"/>
              <w:ind w:firstLineChars="200" w:firstLine="420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Hemos organizado con éxito 63 cursos de formación a petición del Departamento de Organización, el Departamento de Personal, la Oficina de Atracción de </w:t>
            </w:r>
            <w:r>
              <w:rPr>
                <w:color w:val="000000"/>
                <w:lang w:val="es-ES"/>
              </w:rPr>
              <w:t xml:space="preserve">Talentos y otras instituciones de la provincia, así como 97 misiones comerciales a petición de 285 empresas estatales, mixtas y </w:t>
            </w:r>
            <w:proofErr w:type="spellStart"/>
            <w:r>
              <w:rPr>
                <w:color w:val="000000"/>
                <w:lang w:val="es-ES"/>
              </w:rPr>
              <w:t>privadas.Alrededor</w:t>
            </w:r>
            <w:proofErr w:type="spellEnd"/>
            <w:r>
              <w:rPr>
                <w:color w:val="000000"/>
                <w:lang w:val="es-ES"/>
              </w:rPr>
              <w:t xml:space="preserve"> de 1 500 funcionarios, técnicos y administradores de empresas fueron enviados al extranjero para la formación</w:t>
            </w:r>
            <w:r>
              <w:rPr>
                <w:color w:val="000000"/>
                <w:lang w:val="es-ES"/>
              </w:rPr>
              <w:t>, la atracción de inversiones y promoción de productos. Hemos organizado 17 seminarios con el Fondo Internacional de Comercialización de la Pequeña y Mediana Empresa con las políticas preferenciales del gobierno central. 581 directivos de pequeñas y median</w:t>
            </w:r>
            <w:r>
              <w:rPr>
                <w:color w:val="000000"/>
                <w:lang w:val="es-ES"/>
              </w:rPr>
              <w:t>as empresas han asistido en estos seminarios.</w:t>
            </w:r>
          </w:p>
          <w:p w:rsidR="00D40A3B" w:rsidRDefault="00766B86">
            <w:pPr>
              <w:snapToGrid w:val="0"/>
              <w:spacing w:line="300" w:lineRule="exact"/>
              <w:ind w:firstLineChars="200" w:firstLine="420"/>
              <w:rPr>
                <w:szCs w:val="21"/>
                <w:lang w:val="es-ES"/>
              </w:rPr>
            </w:pPr>
            <w:r>
              <w:rPr>
                <w:color w:val="000000"/>
                <w:lang w:val="es-ES"/>
              </w:rPr>
              <w:t>Desde 2004, empezamos a organizar los proyectos de desarrollo de recursos humanos para los países en desarrollo bajo la dirección del Ministerio de Comercio. A finales de 2016, hemos organizado 245 programas de</w:t>
            </w:r>
            <w:r>
              <w:rPr>
                <w:color w:val="000000"/>
                <w:lang w:val="es-ES"/>
              </w:rPr>
              <w:t xml:space="preserve"> formación para 5930 </w:t>
            </w:r>
            <w:proofErr w:type="spellStart"/>
            <w:r>
              <w:rPr>
                <w:color w:val="000000"/>
                <w:lang w:val="es-ES"/>
              </w:rPr>
              <w:t>oficialesde</w:t>
            </w:r>
            <w:proofErr w:type="spellEnd"/>
            <w:r>
              <w:rPr>
                <w:color w:val="000000"/>
                <w:lang w:val="es-ES"/>
              </w:rPr>
              <w:t xml:space="preserve"> 129 países en desarrollo, incluyendo seminarios para </w:t>
            </w:r>
            <w:proofErr w:type="spellStart"/>
            <w:r>
              <w:rPr>
                <w:color w:val="000000"/>
                <w:lang w:val="es-ES"/>
              </w:rPr>
              <w:t>funicionarios</w:t>
            </w:r>
            <w:proofErr w:type="spellEnd"/>
            <w:r>
              <w:rPr>
                <w:color w:val="000000"/>
                <w:lang w:val="es-ES"/>
              </w:rPr>
              <w:t xml:space="preserve"> de tres provincias(</w:t>
            </w:r>
            <w:proofErr w:type="spellStart"/>
            <w:r>
              <w:rPr>
                <w:color w:val="000000"/>
                <w:lang w:val="es-ES"/>
              </w:rPr>
              <w:t>Nanding</w:t>
            </w:r>
            <w:proofErr w:type="spellEnd"/>
            <w:r>
              <w:rPr>
                <w:color w:val="000000"/>
                <w:lang w:val="es-ES"/>
              </w:rPr>
              <w:t xml:space="preserve">, </w:t>
            </w:r>
            <w:proofErr w:type="spellStart"/>
            <w:r>
              <w:rPr>
                <w:color w:val="000000"/>
                <w:lang w:val="es-ES"/>
              </w:rPr>
              <w:t>Qinju</w:t>
            </w:r>
            <w:proofErr w:type="spellEnd"/>
            <w:r>
              <w:rPr>
                <w:color w:val="000000"/>
                <w:lang w:val="es-ES"/>
              </w:rPr>
              <w:t xml:space="preserve">, </w:t>
            </w:r>
            <w:proofErr w:type="spellStart"/>
            <w:r>
              <w:rPr>
                <w:color w:val="000000"/>
                <w:lang w:val="es-ES"/>
              </w:rPr>
              <w:t>Lintong</w:t>
            </w:r>
            <w:proofErr w:type="spellEnd"/>
            <w:r>
              <w:rPr>
                <w:color w:val="000000"/>
                <w:lang w:val="es-ES"/>
              </w:rPr>
              <w:t xml:space="preserve">)de </w:t>
            </w:r>
            <w:proofErr w:type="spellStart"/>
            <w:r>
              <w:rPr>
                <w:color w:val="000000"/>
                <w:lang w:val="es-ES"/>
              </w:rPr>
              <w:t>Vietnám</w:t>
            </w:r>
            <w:proofErr w:type="spellEnd"/>
            <w:r>
              <w:rPr>
                <w:color w:val="000000"/>
                <w:lang w:val="es-ES"/>
              </w:rPr>
              <w:t>, Curso de Formación en Técnica de Indumentaria, Seminario sobre la Economía Orientada a la Exportación</w:t>
            </w:r>
            <w:r>
              <w:rPr>
                <w:color w:val="000000"/>
                <w:lang w:val="es-ES"/>
              </w:rPr>
              <w:t xml:space="preserve">, Seminario sobre la Planificación Económica, Seminario </w:t>
            </w:r>
            <w:proofErr w:type="spellStart"/>
            <w:r>
              <w:rPr>
                <w:color w:val="000000"/>
                <w:lang w:val="es-ES"/>
              </w:rPr>
              <w:t>parael</w:t>
            </w:r>
            <w:proofErr w:type="spellEnd"/>
            <w:r>
              <w:rPr>
                <w:color w:val="000000"/>
                <w:lang w:val="es-ES"/>
              </w:rPr>
              <w:t xml:space="preserve"> Desarrollo de la Capacidad Femenina, Seminario en el Desarrollo Económico y la planificación de las ciudades y pueblos, Seminario sobre la Administración de Defensa Civil de Jordania, Seminario</w:t>
            </w:r>
            <w:r>
              <w:rPr>
                <w:color w:val="000000"/>
                <w:lang w:val="es-ES"/>
              </w:rPr>
              <w:t xml:space="preserve"> de Gestión </w:t>
            </w:r>
            <w:proofErr w:type="spellStart"/>
            <w:r>
              <w:rPr>
                <w:color w:val="000000"/>
                <w:lang w:val="es-ES"/>
              </w:rPr>
              <w:t>Econóímica</w:t>
            </w:r>
            <w:proofErr w:type="spellEnd"/>
            <w:r>
              <w:rPr>
                <w:color w:val="000000"/>
                <w:lang w:val="es-ES"/>
              </w:rPr>
              <w:t xml:space="preserve"> de </w:t>
            </w:r>
            <w:proofErr w:type="spellStart"/>
            <w:r>
              <w:rPr>
                <w:color w:val="000000"/>
                <w:lang w:val="es-ES"/>
              </w:rPr>
              <w:t>Zimbabwe,Seminario</w:t>
            </w:r>
            <w:proofErr w:type="spellEnd"/>
            <w:r>
              <w:rPr>
                <w:color w:val="000000"/>
                <w:lang w:val="es-ES"/>
              </w:rPr>
              <w:t xml:space="preserve"> de la Capacidad Femenina para los Oficiales Afganos, Seminario para los Oficiales sobre Medidas de Alivio Comercial, Seminario de Inversión y Cooperación del Departamento General de Inversión de Yemen, Seminario</w:t>
            </w:r>
            <w:r>
              <w:rPr>
                <w:color w:val="000000"/>
                <w:lang w:val="es-ES"/>
              </w:rPr>
              <w:t xml:space="preserve"> para los Oficiales sobre la Barrera Comercial, Seminario para el Desarrollo de la Inversión y Administración Cooperativa, Seminario sobre la Promoción Comercial para los Oficiales de los Países Latinoamericanos y Caribeños, Seminario de  la Construcción d</w:t>
            </w:r>
            <w:r>
              <w:rPr>
                <w:color w:val="000000"/>
                <w:lang w:val="es-ES"/>
              </w:rPr>
              <w:t>e Infraestructura de Nigeria, Seminario sobre la Asociación Industrial y Comercial de Yemen, Seminario de Desarrollo Económico de la Región Costeña de los Países en Desarrollo, Seminario para los Dirigentes Regionales(gobernador, magistrado de distrito) de</w:t>
            </w:r>
            <w:r>
              <w:rPr>
                <w:color w:val="000000"/>
                <w:lang w:val="es-ES"/>
              </w:rPr>
              <w:t xml:space="preserve"> los Países de Habla Portuguesa, Seminario para los Dirigentes Regionales(gobernador, magistrado de distrito) de la Organización Cooperativa de </w:t>
            </w:r>
            <w:proofErr w:type="spellStart"/>
            <w:r>
              <w:rPr>
                <w:color w:val="000000"/>
                <w:lang w:val="es-ES"/>
              </w:rPr>
              <w:t>Shanghai</w:t>
            </w:r>
            <w:proofErr w:type="spellEnd"/>
            <w:r>
              <w:rPr>
                <w:color w:val="000000"/>
                <w:lang w:val="es-ES"/>
              </w:rPr>
              <w:t>, Seminario de Administración de Industria Textil para los Países de Habla Francesa de África, Curso sob</w:t>
            </w:r>
            <w:r>
              <w:rPr>
                <w:color w:val="000000"/>
                <w:lang w:val="es-ES"/>
              </w:rPr>
              <w:t>re la Planificación y Tecnología de la Construcción de Autopista y Túnel de Nepal, etc.</w:t>
            </w:r>
          </w:p>
        </w:tc>
      </w:tr>
      <w:tr w:rsidR="00D40A3B" w:rsidRPr="00766B86">
        <w:trPr>
          <w:trHeight w:val="6399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spacing w:line="280" w:lineRule="exac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Contenido</w:t>
            </w:r>
            <w:proofErr w:type="spellEnd"/>
            <w:r>
              <w:rPr>
                <w:color w:val="000000"/>
              </w:rPr>
              <w:t xml:space="preserve"> del </w:t>
            </w:r>
            <w:proofErr w:type="spellStart"/>
            <w:r>
              <w:rPr>
                <w:color w:val="000000"/>
              </w:rPr>
              <w:t>Seminario</w:t>
            </w:r>
            <w:proofErr w:type="spellEnd"/>
          </w:p>
        </w:tc>
        <w:tc>
          <w:tcPr>
            <w:tcW w:w="85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3B" w:rsidRDefault="00766B86">
            <w:pPr>
              <w:ind w:firstLineChars="200" w:firstLine="420"/>
              <w:rPr>
                <w:lang w:val="es-ES"/>
              </w:rPr>
            </w:pPr>
            <w:r>
              <w:rPr>
                <w:lang w:val="es-ES"/>
              </w:rPr>
              <w:t xml:space="preserve">Encomendado por el Ministerio de Comercio de la República Popular China, el Centro de Formación de Oficiales de Comercio Exterior y Cooperación Económica de la Provincia de Fujian celebrará el “Seminario sobre Promoción de Inversión y Cooperación para los </w:t>
            </w:r>
            <w:r>
              <w:rPr>
                <w:lang w:val="es-ES"/>
              </w:rPr>
              <w:t xml:space="preserve">Países Latinoamericanos en 2017” del </w:t>
            </w:r>
            <w:r>
              <w:rPr>
                <w:rFonts w:hint="eastAsia"/>
                <w:lang w:val="es-ES"/>
              </w:rPr>
              <w:t>17</w:t>
            </w:r>
            <w:r>
              <w:rPr>
                <w:lang w:val="es-ES"/>
              </w:rPr>
              <w:t xml:space="preserve"> </w:t>
            </w:r>
            <w:r>
              <w:rPr>
                <w:rFonts w:hint="eastAsia"/>
                <w:lang w:val="es-ES"/>
              </w:rPr>
              <w:t xml:space="preserve">de abril </w:t>
            </w:r>
            <w:r>
              <w:rPr>
                <w:lang w:val="es-ES"/>
              </w:rPr>
              <w:t xml:space="preserve">al </w:t>
            </w:r>
            <w:r>
              <w:rPr>
                <w:rFonts w:hint="eastAsia"/>
                <w:lang w:val="es-ES"/>
              </w:rPr>
              <w:t>7</w:t>
            </w:r>
            <w:r>
              <w:rPr>
                <w:lang w:val="es-ES"/>
              </w:rPr>
              <w:t xml:space="preserve"> de </w:t>
            </w:r>
            <w:r>
              <w:rPr>
                <w:rFonts w:hint="eastAsia"/>
                <w:lang w:val="es-ES"/>
              </w:rPr>
              <w:t>mayo</w:t>
            </w:r>
            <w:r>
              <w:rPr>
                <w:lang w:val="es-ES"/>
              </w:rPr>
              <w:t xml:space="preserve"> en Fuzhou. Los expertos del Departamento Comercial de Fujian, el Centro de Investigación y Desarrollo de Fujian, la </w:t>
            </w:r>
            <w:r>
              <w:rPr>
                <w:rFonts w:hint="eastAsia"/>
                <w:lang w:val="es-ES"/>
              </w:rPr>
              <w:t xml:space="preserve">Universidad </w:t>
            </w:r>
            <w:r>
              <w:rPr>
                <w:lang w:val="es-ES"/>
              </w:rPr>
              <w:t xml:space="preserve">de </w:t>
            </w:r>
            <w:proofErr w:type="spellStart"/>
            <w:r>
              <w:rPr>
                <w:rFonts w:hint="eastAsia"/>
                <w:lang w:val="es-ES"/>
              </w:rPr>
              <w:t>Xiamen</w:t>
            </w:r>
            <w:proofErr w:type="spellEnd"/>
            <w:r>
              <w:rPr>
                <w:rFonts w:hint="eastAsia"/>
                <w:lang w:val="es-ES"/>
              </w:rPr>
              <w:t xml:space="preserve"> y la</w:t>
            </w:r>
            <w:r>
              <w:rPr>
                <w:lang w:val="es-ES"/>
              </w:rPr>
              <w:t xml:space="preserve"> de Fuzhou, etc. darán los cursos.</w:t>
            </w:r>
          </w:p>
          <w:p w:rsidR="00D40A3B" w:rsidRDefault="00766B86">
            <w:pPr>
              <w:snapToGrid w:val="0"/>
              <w:spacing w:line="300" w:lineRule="exact"/>
              <w:ind w:firstLine="420"/>
              <w:rPr>
                <w:szCs w:val="21"/>
                <w:lang w:val="es-ES"/>
              </w:rPr>
            </w:pPr>
            <w:r>
              <w:rPr>
                <w:lang w:val="es-ES"/>
              </w:rPr>
              <w:t xml:space="preserve">Este programa incluye conferencias temáticas y visitas, el seminario cubrirá varios temas: la situación general de China, las relaciones exteriores de China, la reforma y apertura de China, </w:t>
            </w:r>
            <w:r>
              <w:rPr>
                <w:rFonts w:hint="eastAsia"/>
                <w:lang w:val="es-ES"/>
              </w:rPr>
              <w:t>sistema de g</w:t>
            </w:r>
            <w:r>
              <w:rPr>
                <w:lang w:val="es-ES"/>
              </w:rPr>
              <w:t>estión</w:t>
            </w:r>
            <w:r>
              <w:rPr>
                <w:rFonts w:hint="eastAsia"/>
                <w:lang w:val="es-ES"/>
              </w:rPr>
              <w:t xml:space="preserve"> y mecanismo de las zonas de desarrollo de China</w:t>
            </w:r>
            <w:r>
              <w:rPr>
                <w:lang w:val="es-ES"/>
              </w:rPr>
              <w:t xml:space="preserve">, </w:t>
            </w:r>
            <w:r>
              <w:rPr>
                <w:rFonts w:hint="eastAsia"/>
                <w:lang w:val="es-ES"/>
              </w:rPr>
              <w:t>la s</w:t>
            </w:r>
            <w:r>
              <w:rPr>
                <w:lang w:val="es-ES"/>
              </w:rPr>
              <w:t>ituación actual y perspectivas de</w:t>
            </w:r>
            <w:r>
              <w:rPr>
                <w:rFonts w:hint="eastAsia"/>
                <w:lang w:val="es-ES"/>
              </w:rPr>
              <w:t xml:space="preserve">l </w:t>
            </w:r>
            <w:r>
              <w:rPr>
                <w:lang w:val="es-ES"/>
              </w:rPr>
              <w:t>comercio electrónico</w:t>
            </w:r>
            <w:r>
              <w:rPr>
                <w:rFonts w:hint="eastAsia"/>
                <w:lang w:val="es-ES"/>
              </w:rPr>
              <w:t xml:space="preserve">, </w:t>
            </w:r>
            <w:r>
              <w:rPr>
                <w:lang w:val="es-ES"/>
              </w:rPr>
              <w:t>etc. Durante la formación, arreglaremos visitas relativas para que los participantes conozcan la situación de desarrollo de distintas regiones en China, sobre todo</w:t>
            </w:r>
            <w:r w:rsidRPr="00766B86">
              <w:rPr>
                <w:rFonts w:hint="eastAsia"/>
                <w:lang w:val="es-PE"/>
              </w:rPr>
              <w:t>s</w:t>
            </w:r>
            <w:r>
              <w:rPr>
                <w:lang w:val="es-ES"/>
              </w:rPr>
              <w:t xml:space="preserve"> los éxitos logrados y esfuer</w:t>
            </w:r>
            <w:r>
              <w:rPr>
                <w:lang w:val="es-ES"/>
              </w:rPr>
              <w:t>zos realizados por el Gobierno en la promoció</w:t>
            </w:r>
            <w:r>
              <w:rPr>
                <w:rFonts w:hint="eastAsia"/>
                <w:lang w:val="es-ES"/>
              </w:rPr>
              <w:t>n de</w:t>
            </w:r>
            <w:r>
              <w:rPr>
                <w:lang w:val="es-ES"/>
              </w:rPr>
              <w:t xml:space="preserve"> </w:t>
            </w:r>
            <w:r>
              <w:rPr>
                <w:rFonts w:hint="eastAsia"/>
                <w:lang w:val="es-ES"/>
              </w:rPr>
              <w:t>i</w:t>
            </w:r>
            <w:r>
              <w:rPr>
                <w:lang w:val="es-ES"/>
              </w:rPr>
              <w:t xml:space="preserve">nversión y </w:t>
            </w:r>
            <w:r>
              <w:rPr>
                <w:rFonts w:hint="eastAsia"/>
                <w:lang w:val="es-ES"/>
              </w:rPr>
              <w:t>c</w:t>
            </w:r>
            <w:r>
              <w:rPr>
                <w:lang w:val="es-ES"/>
              </w:rPr>
              <w:t>ooperación. Después de este seminario, los participantes tendrán un conocimiento más amplio sobre China e inspiración mediante las conferencias y visitas, también harán contribución a la amista</w:t>
            </w:r>
            <w:r>
              <w:rPr>
                <w:lang w:val="es-ES"/>
              </w:rPr>
              <w:t>d bilateral.</w:t>
            </w:r>
          </w:p>
        </w:tc>
      </w:tr>
    </w:tbl>
    <w:p w:rsidR="00D40A3B" w:rsidRDefault="00D40A3B">
      <w:pPr>
        <w:spacing w:line="500" w:lineRule="exact"/>
        <w:rPr>
          <w:rFonts w:eastAsia="SimHei"/>
          <w:b/>
          <w:sz w:val="36"/>
          <w:szCs w:val="36"/>
          <w:lang w:val="es-ES"/>
        </w:rPr>
      </w:pPr>
    </w:p>
    <w:sectPr w:rsidR="00D40A3B">
      <w:pgSz w:w="11906" w:h="16838"/>
      <w:pgMar w:top="1418" w:right="1474" w:bottom="1418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2338C"/>
    <w:multiLevelType w:val="multilevel"/>
    <w:tmpl w:val="27E2338C"/>
    <w:lvl w:ilvl="0">
      <w:start w:val="1"/>
      <w:numFmt w:val="decimal"/>
      <w:pStyle w:val="Char1"/>
      <w:lvlText w:val="%1a."/>
      <w:lvlJc w:val="left"/>
      <w:pPr>
        <w:tabs>
          <w:tab w:val="left" w:pos="425"/>
        </w:tabs>
        <w:ind w:left="425" w:hanging="425"/>
      </w:pPr>
      <w:rPr>
        <w:rFonts w:ascii="SimSun" w:eastAsia="SimSun" w:hint="eastAsia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F6DFE"/>
    <w:rsid w:val="00016FCA"/>
    <w:rsid w:val="00024639"/>
    <w:rsid w:val="000356D5"/>
    <w:rsid w:val="00041B9B"/>
    <w:rsid w:val="00043105"/>
    <w:rsid w:val="000479E3"/>
    <w:rsid w:val="00053C65"/>
    <w:rsid w:val="000816CF"/>
    <w:rsid w:val="000A5DF5"/>
    <w:rsid w:val="000C10AB"/>
    <w:rsid w:val="000C4BEA"/>
    <w:rsid w:val="000C5612"/>
    <w:rsid w:val="000D047D"/>
    <w:rsid w:val="000D189E"/>
    <w:rsid w:val="000E2D8B"/>
    <w:rsid w:val="000E67FA"/>
    <w:rsid w:val="000F7205"/>
    <w:rsid w:val="00117804"/>
    <w:rsid w:val="001566AA"/>
    <w:rsid w:val="00160B9E"/>
    <w:rsid w:val="001627CC"/>
    <w:rsid w:val="001A05FC"/>
    <w:rsid w:val="001A0684"/>
    <w:rsid w:val="001B2619"/>
    <w:rsid w:val="001B3239"/>
    <w:rsid w:val="001E11EA"/>
    <w:rsid w:val="001F5785"/>
    <w:rsid w:val="002047D3"/>
    <w:rsid w:val="00205C46"/>
    <w:rsid w:val="002109BF"/>
    <w:rsid w:val="00215B97"/>
    <w:rsid w:val="00223948"/>
    <w:rsid w:val="00234026"/>
    <w:rsid w:val="00242CB0"/>
    <w:rsid w:val="00246CCF"/>
    <w:rsid w:val="00254634"/>
    <w:rsid w:val="002708FF"/>
    <w:rsid w:val="00271096"/>
    <w:rsid w:val="0027216C"/>
    <w:rsid w:val="00276BE6"/>
    <w:rsid w:val="00294D6F"/>
    <w:rsid w:val="0029653B"/>
    <w:rsid w:val="002E5488"/>
    <w:rsid w:val="00306A64"/>
    <w:rsid w:val="00320DDA"/>
    <w:rsid w:val="0032349B"/>
    <w:rsid w:val="00325DE9"/>
    <w:rsid w:val="0032646A"/>
    <w:rsid w:val="00340AEF"/>
    <w:rsid w:val="00341C26"/>
    <w:rsid w:val="00343DD9"/>
    <w:rsid w:val="00350446"/>
    <w:rsid w:val="00367E80"/>
    <w:rsid w:val="00371625"/>
    <w:rsid w:val="00374E4B"/>
    <w:rsid w:val="00391473"/>
    <w:rsid w:val="003D1FDF"/>
    <w:rsid w:val="003D7F15"/>
    <w:rsid w:val="003E66FB"/>
    <w:rsid w:val="003F01B4"/>
    <w:rsid w:val="00403322"/>
    <w:rsid w:val="00405915"/>
    <w:rsid w:val="004203B5"/>
    <w:rsid w:val="00435D6E"/>
    <w:rsid w:val="004432C2"/>
    <w:rsid w:val="0044774E"/>
    <w:rsid w:val="004479AD"/>
    <w:rsid w:val="00454287"/>
    <w:rsid w:val="004578D2"/>
    <w:rsid w:val="004606BD"/>
    <w:rsid w:val="00466FDD"/>
    <w:rsid w:val="00481A0C"/>
    <w:rsid w:val="00487971"/>
    <w:rsid w:val="004A14D5"/>
    <w:rsid w:val="004A7F21"/>
    <w:rsid w:val="004C198D"/>
    <w:rsid w:val="004C291C"/>
    <w:rsid w:val="004C40EA"/>
    <w:rsid w:val="0050500E"/>
    <w:rsid w:val="0051484F"/>
    <w:rsid w:val="00522233"/>
    <w:rsid w:val="00530A63"/>
    <w:rsid w:val="005339D5"/>
    <w:rsid w:val="00543CCC"/>
    <w:rsid w:val="0055510B"/>
    <w:rsid w:val="005707E4"/>
    <w:rsid w:val="005813BC"/>
    <w:rsid w:val="00593A17"/>
    <w:rsid w:val="005B592C"/>
    <w:rsid w:val="005B5FF0"/>
    <w:rsid w:val="005E75AC"/>
    <w:rsid w:val="005F00FF"/>
    <w:rsid w:val="0061616F"/>
    <w:rsid w:val="00621622"/>
    <w:rsid w:val="00624D5F"/>
    <w:rsid w:val="00624F6B"/>
    <w:rsid w:val="006440D6"/>
    <w:rsid w:val="00684722"/>
    <w:rsid w:val="00687183"/>
    <w:rsid w:val="00687FA0"/>
    <w:rsid w:val="00690E00"/>
    <w:rsid w:val="006C26F7"/>
    <w:rsid w:val="006D1F2D"/>
    <w:rsid w:val="006D264C"/>
    <w:rsid w:val="00702A09"/>
    <w:rsid w:val="00711B9D"/>
    <w:rsid w:val="007132D8"/>
    <w:rsid w:val="00713C71"/>
    <w:rsid w:val="00717150"/>
    <w:rsid w:val="007213F5"/>
    <w:rsid w:val="007226C5"/>
    <w:rsid w:val="00731249"/>
    <w:rsid w:val="007347B7"/>
    <w:rsid w:val="00762578"/>
    <w:rsid w:val="00766B86"/>
    <w:rsid w:val="007818C2"/>
    <w:rsid w:val="00782D36"/>
    <w:rsid w:val="007855BE"/>
    <w:rsid w:val="0078640B"/>
    <w:rsid w:val="007C5B7D"/>
    <w:rsid w:val="007D58FF"/>
    <w:rsid w:val="008063C7"/>
    <w:rsid w:val="008148EC"/>
    <w:rsid w:val="00830305"/>
    <w:rsid w:val="00845853"/>
    <w:rsid w:val="00846EEB"/>
    <w:rsid w:val="00852F73"/>
    <w:rsid w:val="00855091"/>
    <w:rsid w:val="00865178"/>
    <w:rsid w:val="00890008"/>
    <w:rsid w:val="00893400"/>
    <w:rsid w:val="008B2176"/>
    <w:rsid w:val="008C2BFA"/>
    <w:rsid w:val="008D30CF"/>
    <w:rsid w:val="008E5093"/>
    <w:rsid w:val="008E521A"/>
    <w:rsid w:val="008F0C87"/>
    <w:rsid w:val="008F13B9"/>
    <w:rsid w:val="009158B4"/>
    <w:rsid w:val="009174F8"/>
    <w:rsid w:val="00923834"/>
    <w:rsid w:val="00924895"/>
    <w:rsid w:val="009414CB"/>
    <w:rsid w:val="0094377F"/>
    <w:rsid w:val="00943991"/>
    <w:rsid w:val="00957066"/>
    <w:rsid w:val="0098695A"/>
    <w:rsid w:val="009A519C"/>
    <w:rsid w:val="009C03E5"/>
    <w:rsid w:val="009C10A8"/>
    <w:rsid w:val="009C1FAC"/>
    <w:rsid w:val="009D1040"/>
    <w:rsid w:val="009D6B22"/>
    <w:rsid w:val="009D7AE2"/>
    <w:rsid w:val="009F0DE4"/>
    <w:rsid w:val="009F5053"/>
    <w:rsid w:val="009F5394"/>
    <w:rsid w:val="00A01BD3"/>
    <w:rsid w:val="00A0739B"/>
    <w:rsid w:val="00A0788F"/>
    <w:rsid w:val="00A24C94"/>
    <w:rsid w:val="00A32F33"/>
    <w:rsid w:val="00A46D66"/>
    <w:rsid w:val="00A477F6"/>
    <w:rsid w:val="00A478EB"/>
    <w:rsid w:val="00A6187D"/>
    <w:rsid w:val="00A750B0"/>
    <w:rsid w:val="00A853E9"/>
    <w:rsid w:val="00A876F7"/>
    <w:rsid w:val="00A9410E"/>
    <w:rsid w:val="00A955C5"/>
    <w:rsid w:val="00A96758"/>
    <w:rsid w:val="00AA0CB4"/>
    <w:rsid w:val="00AC5EE2"/>
    <w:rsid w:val="00AC6BE0"/>
    <w:rsid w:val="00AE0884"/>
    <w:rsid w:val="00AF6AE4"/>
    <w:rsid w:val="00B00B34"/>
    <w:rsid w:val="00B022B5"/>
    <w:rsid w:val="00B03D80"/>
    <w:rsid w:val="00B10629"/>
    <w:rsid w:val="00B135A4"/>
    <w:rsid w:val="00B2400F"/>
    <w:rsid w:val="00B375BA"/>
    <w:rsid w:val="00B719C4"/>
    <w:rsid w:val="00B96B84"/>
    <w:rsid w:val="00BA1135"/>
    <w:rsid w:val="00BB7258"/>
    <w:rsid w:val="00BC5CA0"/>
    <w:rsid w:val="00BC780B"/>
    <w:rsid w:val="00BC7B4E"/>
    <w:rsid w:val="00BF3402"/>
    <w:rsid w:val="00BF7A9B"/>
    <w:rsid w:val="00C109D0"/>
    <w:rsid w:val="00C35F86"/>
    <w:rsid w:val="00C561E5"/>
    <w:rsid w:val="00C578C0"/>
    <w:rsid w:val="00C75014"/>
    <w:rsid w:val="00C926F4"/>
    <w:rsid w:val="00CA4875"/>
    <w:rsid w:val="00CA66E5"/>
    <w:rsid w:val="00CB737E"/>
    <w:rsid w:val="00CC385D"/>
    <w:rsid w:val="00CE32E5"/>
    <w:rsid w:val="00CE6108"/>
    <w:rsid w:val="00D177DF"/>
    <w:rsid w:val="00D25C3C"/>
    <w:rsid w:val="00D279F4"/>
    <w:rsid w:val="00D33FB0"/>
    <w:rsid w:val="00D40A3B"/>
    <w:rsid w:val="00D56D70"/>
    <w:rsid w:val="00D6162C"/>
    <w:rsid w:val="00D70A15"/>
    <w:rsid w:val="00D7523C"/>
    <w:rsid w:val="00D84117"/>
    <w:rsid w:val="00D906FC"/>
    <w:rsid w:val="00D90D3C"/>
    <w:rsid w:val="00D93463"/>
    <w:rsid w:val="00DB00C3"/>
    <w:rsid w:val="00DC36D9"/>
    <w:rsid w:val="00DE4085"/>
    <w:rsid w:val="00DF7290"/>
    <w:rsid w:val="00E02C7B"/>
    <w:rsid w:val="00E179B5"/>
    <w:rsid w:val="00E2718C"/>
    <w:rsid w:val="00E42BBD"/>
    <w:rsid w:val="00E456FE"/>
    <w:rsid w:val="00E47004"/>
    <w:rsid w:val="00E53DE5"/>
    <w:rsid w:val="00E7089F"/>
    <w:rsid w:val="00E8247A"/>
    <w:rsid w:val="00E94140"/>
    <w:rsid w:val="00E97E84"/>
    <w:rsid w:val="00EA0A5F"/>
    <w:rsid w:val="00EA7FE7"/>
    <w:rsid w:val="00EF02F5"/>
    <w:rsid w:val="00EF0B3D"/>
    <w:rsid w:val="00EF6CC3"/>
    <w:rsid w:val="00F00DEC"/>
    <w:rsid w:val="00F02969"/>
    <w:rsid w:val="00F10331"/>
    <w:rsid w:val="00F77687"/>
    <w:rsid w:val="00F84D85"/>
    <w:rsid w:val="00F9518E"/>
    <w:rsid w:val="00FB1878"/>
    <w:rsid w:val="00FB4AF4"/>
    <w:rsid w:val="00FD2336"/>
    <w:rsid w:val="00FD7B35"/>
    <w:rsid w:val="00FE08DF"/>
    <w:rsid w:val="00FF0ECB"/>
    <w:rsid w:val="00FF50D1"/>
    <w:rsid w:val="00FF5E27"/>
    <w:rsid w:val="031C4579"/>
    <w:rsid w:val="03D07DA8"/>
    <w:rsid w:val="0875109A"/>
    <w:rsid w:val="1643538E"/>
    <w:rsid w:val="17EC7D4E"/>
    <w:rsid w:val="273968CF"/>
    <w:rsid w:val="2AEB407A"/>
    <w:rsid w:val="2B7B22F9"/>
    <w:rsid w:val="32E338CA"/>
    <w:rsid w:val="331A5891"/>
    <w:rsid w:val="33CD1809"/>
    <w:rsid w:val="3DA35D36"/>
    <w:rsid w:val="41FF4FAC"/>
    <w:rsid w:val="46DC11B1"/>
    <w:rsid w:val="4B444CB2"/>
    <w:rsid w:val="54D5568D"/>
    <w:rsid w:val="57F53534"/>
    <w:rsid w:val="5CBF74A4"/>
    <w:rsid w:val="5CF800C2"/>
    <w:rsid w:val="5DC8396A"/>
    <w:rsid w:val="60CE53CF"/>
    <w:rsid w:val="624A4428"/>
    <w:rsid w:val="654031AC"/>
    <w:rsid w:val="6A0F6DFE"/>
    <w:rsid w:val="75364961"/>
    <w:rsid w:val="7D20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qFormat="1"/>
    <w:lsdException w:name="footer" w:semiHidden="0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qFormat/>
    <w:rPr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ipervnculo">
    <w:name w:val="Hyperlink"/>
    <w:qFormat/>
    <w:rPr>
      <w:color w:val="0000FF"/>
      <w:u w:val="single"/>
    </w:rPr>
  </w:style>
  <w:style w:type="paragraph" w:customStyle="1" w:styleId="Char">
    <w:name w:val="Char"/>
    <w:basedOn w:val="Normal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Char1">
    <w:name w:val="Char1"/>
    <w:basedOn w:val="Normal"/>
    <w:next w:val="Normal"/>
    <w:qFormat/>
    <w:pPr>
      <w:pageBreakBefore/>
      <w:numPr>
        <w:numId w:val="1"/>
      </w:numPr>
      <w:spacing w:line="400" w:lineRule="exact"/>
    </w:pPr>
    <w:rPr>
      <w:rFonts w:eastAsia="SimHei"/>
      <w:sz w:val="32"/>
      <w:szCs w:val="32"/>
    </w:rPr>
  </w:style>
  <w:style w:type="paragraph" w:customStyle="1" w:styleId="Style2">
    <w:name w:val="_Style 2"/>
    <w:basedOn w:val="Normal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p0">
    <w:name w:val="p0"/>
    <w:basedOn w:val="Normal"/>
    <w:qFormat/>
    <w:pPr>
      <w:widowControl/>
    </w:pPr>
    <w:rPr>
      <w:kern w:val="0"/>
      <w:szCs w:val="21"/>
    </w:rPr>
  </w:style>
  <w:style w:type="character" w:customStyle="1" w:styleId="EncabezadoCar">
    <w:name w:val="Encabezado Car"/>
    <w:link w:val="Encabezado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pple-converted-space">
    <w:name w:val="apple-converted-space"/>
    <w:basedOn w:val="Fuentedeprrafopredeter"/>
    <w:qFormat/>
  </w:style>
  <w:style w:type="character" w:customStyle="1" w:styleId="PiedepginaCar">
    <w:name w:val="Pie de página Car"/>
    <w:link w:val="Piedepgina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TextodegloboCar">
    <w:name w:val="Texto de globo Car"/>
    <w:link w:val="Textodeglobo"/>
    <w:semiHidden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apple-style-span">
    <w:name w:val="apple-style-span"/>
    <w:basedOn w:val="Fuentedeprrafopredeter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qFormat="1"/>
    <w:lsdException w:name="footer" w:semiHidden="0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qFormat/>
    <w:rPr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ipervnculo">
    <w:name w:val="Hyperlink"/>
    <w:qFormat/>
    <w:rPr>
      <w:color w:val="0000FF"/>
      <w:u w:val="single"/>
    </w:rPr>
  </w:style>
  <w:style w:type="paragraph" w:customStyle="1" w:styleId="Char">
    <w:name w:val="Char"/>
    <w:basedOn w:val="Normal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Char1">
    <w:name w:val="Char1"/>
    <w:basedOn w:val="Normal"/>
    <w:next w:val="Normal"/>
    <w:qFormat/>
    <w:pPr>
      <w:pageBreakBefore/>
      <w:numPr>
        <w:numId w:val="1"/>
      </w:numPr>
      <w:spacing w:line="400" w:lineRule="exact"/>
    </w:pPr>
    <w:rPr>
      <w:rFonts w:eastAsia="SimHei"/>
      <w:sz w:val="32"/>
      <w:szCs w:val="32"/>
    </w:rPr>
  </w:style>
  <w:style w:type="paragraph" w:customStyle="1" w:styleId="Style2">
    <w:name w:val="_Style 2"/>
    <w:basedOn w:val="Normal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p0">
    <w:name w:val="p0"/>
    <w:basedOn w:val="Normal"/>
    <w:qFormat/>
    <w:pPr>
      <w:widowControl/>
    </w:pPr>
    <w:rPr>
      <w:kern w:val="0"/>
      <w:szCs w:val="21"/>
    </w:rPr>
  </w:style>
  <w:style w:type="character" w:customStyle="1" w:styleId="EncabezadoCar">
    <w:name w:val="Encabezado Car"/>
    <w:link w:val="Encabezado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pple-converted-space">
    <w:name w:val="apple-converted-space"/>
    <w:basedOn w:val="Fuentedeprrafopredeter"/>
    <w:qFormat/>
  </w:style>
  <w:style w:type="character" w:customStyle="1" w:styleId="PiedepginaCar">
    <w:name w:val="Pie de página Car"/>
    <w:link w:val="Piedepgina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TextodegloboCar">
    <w:name w:val="Texto de globo Car"/>
    <w:link w:val="Textodeglobo"/>
    <w:semiHidden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apple-style-span">
    <w:name w:val="apple-style-span"/>
    <w:basedOn w:val="Fuentedeprrafoprede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9033;&#30446;&#31616;&#20171;&#25913;\&#39033;&#30446;&#31616;&#20171;-2016&#24180;&#29627;&#21033;&#32500;&#20122;&#25191;&#25919;&#20826;&#24178;&#37096;&#30740;&#20462;&#29677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项目简介-2016年玻利维亚执政党干部研修班</Template>
  <TotalTime>0</TotalTime>
  <Pages>3</Pages>
  <Words>1037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附件:</vt:lpstr>
    </vt:vector>
  </TitlesOfParts>
  <Company>Lenovo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附件:</dc:title>
  <dc:creator>Administrator</dc:creator>
  <cp:lastModifiedBy>Monica Ramirez Molina</cp:lastModifiedBy>
  <cp:revision>2</cp:revision>
  <dcterms:created xsi:type="dcterms:W3CDTF">2017-03-07T19:57:00Z</dcterms:created>
  <dcterms:modified xsi:type="dcterms:W3CDTF">2017-03-07T19:57:00Z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