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43" w:rsidRDefault="00E22A77" w:rsidP="00E22A77">
      <w:pPr>
        <w:spacing w:afterLines="50" w:after="156" w:line="500" w:lineRule="exact"/>
        <w:jc w:val="center"/>
      </w:pPr>
      <w:bookmarkStart w:id="0" w:name="_GoBack"/>
      <w:bookmarkEnd w:id="0"/>
      <w:r>
        <w:rPr>
          <w:rFonts w:eastAsia="SimHei" w:hint="eastAsia"/>
          <w:b/>
          <w:sz w:val="36"/>
          <w:szCs w:val="36"/>
        </w:rPr>
        <w:t>Project Description</w:t>
      </w:r>
    </w:p>
    <w:tbl>
      <w:tblPr>
        <w:tblW w:w="99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2"/>
        <w:gridCol w:w="1368"/>
        <w:gridCol w:w="1152"/>
        <w:gridCol w:w="1374"/>
        <w:gridCol w:w="720"/>
        <w:gridCol w:w="1080"/>
        <w:gridCol w:w="2856"/>
      </w:tblGrid>
      <w:tr w:rsidR="00227E43">
        <w:trPr>
          <w:trHeight w:hRule="exact" w:val="607"/>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Name</w:t>
            </w:r>
          </w:p>
        </w:tc>
        <w:tc>
          <w:tcPr>
            <w:tcW w:w="8550" w:type="dxa"/>
            <w:gridSpan w:val="6"/>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jc w:val="center"/>
              <w:rPr>
                <w:szCs w:val="21"/>
              </w:rPr>
            </w:pPr>
            <w:r>
              <w:t>Seminar on Scientific and Technological Innovation Capacity and Standardization of Bamboo Industry for Developing Countries 2017</w:t>
            </w:r>
          </w:p>
        </w:tc>
      </w:tr>
      <w:tr w:rsidR="00227E43">
        <w:trPr>
          <w:trHeight w:hRule="exact" w:val="471"/>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Organizer</w:t>
            </w:r>
          </w:p>
        </w:tc>
        <w:tc>
          <w:tcPr>
            <w:tcW w:w="8550" w:type="dxa"/>
            <w:gridSpan w:val="6"/>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jc w:val="center"/>
              <w:rPr>
                <w:szCs w:val="21"/>
              </w:rPr>
            </w:pPr>
            <w:r>
              <w:t>International Centre for Bamboo and Rattan</w:t>
            </w:r>
          </w:p>
        </w:tc>
      </w:tr>
      <w:tr w:rsidR="00227E43">
        <w:trPr>
          <w:trHeight w:hRule="exact" w:val="471"/>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Time</w:t>
            </w: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jc w:val="center"/>
              <w:rPr>
                <w:szCs w:val="21"/>
              </w:rPr>
            </w:pPr>
            <w:r>
              <w:rPr>
                <w:szCs w:val="21"/>
              </w:rPr>
              <w:t>201</w:t>
            </w:r>
            <w:r>
              <w:rPr>
                <w:rFonts w:hint="eastAsia"/>
                <w:szCs w:val="21"/>
              </w:rPr>
              <w:t>7</w:t>
            </w:r>
            <w:r>
              <w:rPr>
                <w:szCs w:val="21"/>
              </w:rPr>
              <w:t>-05-</w:t>
            </w:r>
            <w:r>
              <w:rPr>
                <w:rFonts w:hint="eastAsia"/>
                <w:szCs w:val="21"/>
              </w:rPr>
              <w:t xml:space="preserve">05 to </w:t>
            </w:r>
            <w:r>
              <w:rPr>
                <w:szCs w:val="21"/>
              </w:rPr>
              <w:t>201</w:t>
            </w:r>
            <w:r>
              <w:rPr>
                <w:rFonts w:hint="eastAsia"/>
                <w:szCs w:val="21"/>
              </w:rPr>
              <w:t>7</w:t>
            </w:r>
            <w:r>
              <w:rPr>
                <w:szCs w:val="21"/>
              </w:rPr>
              <w:t>-</w:t>
            </w:r>
            <w:r>
              <w:rPr>
                <w:rFonts w:hint="eastAsia"/>
                <w:szCs w:val="21"/>
              </w:rPr>
              <w:t>05</w:t>
            </w:r>
            <w:r>
              <w:rPr>
                <w:szCs w:val="21"/>
              </w:rPr>
              <w:t>-</w:t>
            </w:r>
            <w:r>
              <w:rPr>
                <w:rFonts w:hint="eastAsia"/>
                <w:szCs w:val="21"/>
              </w:rPr>
              <w:t>25</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jc w:val="center"/>
              <w:rPr>
                <w:szCs w:val="21"/>
              </w:rPr>
            </w:pPr>
            <w:r>
              <w:rPr>
                <w:szCs w:val="21"/>
              </w:rPr>
              <w:t>Language</w:t>
            </w:r>
          </w:p>
        </w:tc>
        <w:tc>
          <w:tcPr>
            <w:tcW w:w="2856" w:type="dxa"/>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jc w:val="center"/>
              <w:rPr>
                <w:szCs w:val="21"/>
              </w:rPr>
            </w:pPr>
            <w:r>
              <w:rPr>
                <w:szCs w:val="21"/>
              </w:rPr>
              <w:t>English</w:t>
            </w:r>
          </w:p>
        </w:tc>
      </w:tr>
      <w:tr w:rsidR="00227E43">
        <w:trPr>
          <w:trHeight w:hRule="exact" w:val="786"/>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Invited Countries</w:t>
            </w:r>
          </w:p>
        </w:tc>
        <w:tc>
          <w:tcPr>
            <w:tcW w:w="8550" w:type="dxa"/>
            <w:gridSpan w:val="6"/>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rPr>
                <w:szCs w:val="21"/>
              </w:rPr>
            </w:pPr>
            <w:r>
              <w:rPr>
                <w:kern w:val="0"/>
                <w:szCs w:val="21"/>
              </w:rPr>
              <w:t>Government officials</w:t>
            </w:r>
            <w:r>
              <w:rPr>
                <w:kern w:val="0"/>
                <w:szCs w:val="21"/>
                <w:highlight w:val="white"/>
              </w:rPr>
              <w:t xml:space="preserve"> en</w:t>
            </w:r>
            <w:r>
              <w:rPr>
                <w:kern w:val="0"/>
                <w:szCs w:val="21"/>
              </w:rPr>
              <w:t xml:space="preserve">gaged in </w:t>
            </w:r>
            <w:r>
              <w:rPr>
                <w:rFonts w:hint="eastAsia"/>
              </w:rPr>
              <w:t xml:space="preserve">forestry, agriculture, science and technology, standardization, </w:t>
            </w:r>
            <w:r>
              <w:t>natural</w:t>
            </w:r>
            <w:r>
              <w:rPr>
                <w:rFonts w:hint="eastAsia"/>
              </w:rPr>
              <w:t xml:space="preserve"> resource and </w:t>
            </w:r>
            <w:r>
              <w:t>environment</w:t>
            </w:r>
            <w:r>
              <w:rPr>
                <w:rFonts w:hint="eastAsia"/>
              </w:rPr>
              <w:t xml:space="preserve"> protection</w:t>
            </w:r>
            <w:r>
              <w:rPr>
                <w:kern w:val="0"/>
                <w:szCs w:val="21"/>
              </w:rPr>
              <w:t xml:space="preserve"> from </w:t>
            </w:r>
            <w:r>
              <w:rPr>
                <w:rFonts w:hint="eastAsia"/>
                <w:kern w:val="0"/>
                <w:szCs w:val="21"/>
              </w:rPr>
              <w:t>developing</w:t>
            </w:r>
            <w:r>
              <w:rPr>
                <w:kern w:val="0"/>
                <w:szCs w:val="21"/>
              </w:rPr>
              <w:t xml:space="preserve"> countries. </w:t>
            </w:r>
          </w:p>
        </w:tc>
      </w:tr>
      <w:tr w:rsidR="00227E43">
        <w:trPr>
          <w:trHeight w:hRule="exact" w:val="588"/>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Number of Participants</w:t>
            </w:r>
          </w:p>
        </w:tc>
        <w:tc>
          <w:tcPr>
            <w:tcW w:w="8550" w:type="dxa"/>
            <w:gridSpan w:val="6"/>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jc w:val="center"/>
              <w:rPr>
                <w:szCs w:val="21"/>
              </w:rPr>
            </w:pPr>
            <w:r>
              <w:rPr>
                <w:szCs w:val="21"/>
              </w:rPr>
              <w:t>25</w:t>
            </w:r>
          </w:p>
        </w:tc>
      </w:tr>
      <w:tr w:rsidR="00227E43">
        <w:trPr>
          <w:trHeight w:hRule="exact" w:val="461"/>
          <w:jc w:val="center"/>
        </w:trPr>
        <w:tc>
          <w:tcPr>
            <w:tcW w:w="1392" w:type="dxa"/>
            <w:vMerge w:val="restart"/>
            <w:tcBorders>
              <w:top w:val="single" w:sz="4" w:space="0" w:color="auto"/>
              <w:left w:val="single" w:sz="4" w:space="0" w:color="auto"/>
              <w:right w:val="single" w:sz="4" w:space="0" w:color="auto"/>
            </w:tcBorders>
            <w:vAlign w:val="center"/>
          </w:tcPr>
          <w:p w:rsidR="00227E43" w:rsidRDefault="00E22A77">
            <w:pPr>
              <w:jc w:val="center"/>
              <w:rPr>
                <w:szCs w:val="21"/>
              </w:rPr>
            </w:pPr>
            <w:r>
              <w:rPr>
                <w:szCs w:val="21"/>
              </w:rPr>
              <w:t>Requirements for</w:t>
            </w:r>
            <w:r>
              <w:rPr>
                <w:rFonts w:hint="eastAsia"/>
                <w:szCs w:val="21"/>
              </w:rPr>
              <w:t xml:space="preserve"> </w:t>
            </w:r>
            <w:r>
              <w:rPr>
                <w:szCs w:val="21"/>
              </w:rPr>
              <w:t>the</w:t>
            </w:r>
          </w:p>
          <w:p w:rsidR="00227E43" w:rsidRDefault="00E22A77">
            <w:pPr>
              <w:jc w:val="center"/>
              <w:rPr>
                <w:szCs w:val="21"/>
              </w:rPr>
            </w:pPr>
            <w:r>
              <w:rPr>
                <w:szCs w:val="21"/>
              </w:rPr>
              <w:t>Participants</w:t>
            </w:r>
          </w:p>
        </w:tc>
        <w:tc>
          <w:tcPr>
            <w:tcW w:w="1368"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Age</w:t>
            </w:r>
          </w:p>
        </w:tc>
        <w:tc>
          <w:tcPr>
            <w:tcW w:w="7182" w:type="dxa"/>
            <w:gridSpan w:val="5"/>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jc w:val="center"/>
              <w:rPr>
                <w:szCs w:val="21"/>
              </w:rPr>
            </w:pPr>
            <w:bookmarkStart w:id="1" w:name="OLE_LINK14"/>
            <w:r>
              <w:rPr>
                <w:szCs w:val="21"/>
              </w:rPr>
              <w:t>Under 50 for director general’s level; under 45 for division director’s level</w:t>
            </w:r>
            <w:bookmarkEnd w:id="1"/>
          </w:p>
        </w:tc>
      </w:tr>
      <w:tr w:rsidR="00227E43">
        <w:trPr>
          <w:trHeight w:hRule="exact" w:val="2228"/>
          <w:jc w:val="center"/>
        </w:trPr>
        <w:tc>
          <w:tcPr>
            <w:tcW w:w="1392" w:type="dxa"/>
            <w:vMerge/>
            <w:tcBorders>
              <w:left w:val="single" w:sz="4" w:space="0" w:color="auto"/>
              <w:right w:val="single" w:sz="4" w:space="0" w:color="auto"/>
            </w:tcBorders>
            <w:vAlign w:val="center"/>
          </w:tcPr>
          <w:p w:rsidR="00227E43" w:rsidRDefault="00227E43">
            <w:pPr>
              <w:jc w:val="center"/>
              <w:rPr>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Health</w:t>
            </w:r>
          </w:p>
        </w:tc>
        <w:tc>
          <w:tcPr>
            <w:tcW w:w="7182" w:type="dxa"/>
            <w:gridSpan w:val="5"/>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rPr>
                <w:szCs w:val="21"/>
              </w:rPr>
            </w:pPr>
            <w:r>
              <w:rPr>
                <w:szCs w:val="21"/>
              </w:rPr>
              <w:t xml:space="preserve">In good health with health certificate issued by the local public hospitals; without diseases with which entry to China is disallowed by China’s laws and regulations; </w:t>
            </w:r>
            <w:r>
              <w:rPr>
                <w:szCs w:val="21"/>
              </w:rPr>
              <w:t>without severe chronic diseases such as serious high blood pressure, cardiovascular/cerebrovascular diseases and diabetes; without metal diseases or epidemic diseases that are likely to cause serious threat to public health; not in the process of recoverin</w:t>
            </w:r>
            <w:r>
              <w:rPr>
                <w:szCs w:val="21"/>
              </w:rPr>
              <w:t>g after a major operation or in the process of acute diseases; not seriously disabled or pregnant.</w:t>
            </w:r>
          </w:p>
        </w:tc>
      </w:tr>
      <w:tr w:rsidR="00227E43">
        <w:trPr>
          <w:trHeight w:hRule="exact" w:val="450"/>
          <w:jc w:val="center"/>
        </w:trPr>
        <w:tc>
          <w:tcPr>
            <w:tcW w:w="1392" w:type="dxa"/>
            <w:vMerge/>
            <w:tcBorders>
              <w:left w:val="single" w:sz="4" w:space="0" w:color="auto"/>
              <w:right w:val="single" w:sz="4" w:space="0" w:color="auto"/>
            </w:tcBorders>
            <w:vAlign w:val="center"/>
          </w:tcPr>
          <w:p w:rsidR="00227E43" w:rsidRDefault="00227E43">
            <w:pPr>
              <w:jc w:val="center"/>
              <w:rPr>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Language</w:t>
            </w:r>
          </w:p>
        </w:tc>
        <w:tc>
          <w:tcPr>
            <w:tcW w:w="7182" w:type="dxa"/>
            <w:gridSpan w:val="5"/>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jc w:val="center"/>
              <w:rPr>
                <w:szCs w:val="21"/>
              </w:rPr>
            </w:pPr>
            <w:bookmarkStart w:id="2" w:name="OLE_LINK16"/>
            <w:r>
              <w:rPr>
                <w:szCs w:val="21"/>
              </w:rPr>
              <w:t>Capable of listening, speaking, reading and writing in English</w:t>
            </w:r>
            <w:bookmarkEnd w:id="2"/>
          </w:p>
        </w:tc>
      </w:tr>
      <w:tr w:rsidR="00227E43">
        <w:trPr>
          <w:trHeight w:hRule="exact" w:val="591"/>
          <w:jc w:val="center"/>
        </w:trPr>
        <w:tc>
          <w:tcPr>
            <w:tcW w:w="1392" w:type="dxa"/>
            <w:vMerge/>
            <w:tcBorders>
              <w:left w:val="single" w:sz="4" w:space="0" w:color="auto"/>
              <w:bottom w:val="single" w:sz="4" w:space="0" w:color="auto"/>
              <w:right w:val="single" w:sz="4" w:space="0" w:color="auto"/>
            </w:tcBorders>
            <w:vAlign w:val="center"/>
          </w:tcPr>
          <w:p w:rsidR="00227E43" w:rsidRDefault="00227E43">
            <w:pPr>
              <w:jc w:val="center"/>
              <w:rPr>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others</w:t>
            </w:r>
          </w:p>
        </w:tc>
        <w:tc>
          <w:tcPr>
            <w:tcW w:w="7182" w:type="dxa"/>
            <w:gridSpan w:val="5"/>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jc w:val="center"/>
              <w:rPr>
                <w:szCs w:val="21"/>
              </w:rPr>
            </w:pPr>
            <w:bookmarkStart w:id="3" w:name="OLE_LINK17"/>
            <w:r>
              <w:rPr>
                <w:rFonts w:hint="eastAsia"/>
              </w:rPr>
              <w:t xml:space="preserve">Chinese Government will not pay for any expenses of relatives or friends of the participants if they come to China </w:t>
            </w:r>
            <w:r>
              <w:t>with</w:t>
            </w:r>
            <w:r>
              <w:rPr>
                <w:rFonts w:hint="eastAsia"/>
              </w:rPr>
              <w:t xml:space="preserve"> the participants.</w:t>
            </w:r>
            <w:bookmarkEnd w:id="3"/>
          </w:p>
        </w:tc>
      </w:tr>
      <w:tr w:rsidR="00227E43">
        <w:trPr>
          <w:trHeight w:hRule="exact" w:val="353"/>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Host City</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27E43" w:rsidRDefault="00E22A77">
            <w:pPr>
              <w:ind w:firstLineChars="200" w:firstLine="420"/>
              <w:rPr>
                <w:szCs w:val="21"/>
              </w:rPr>
            </w:pPr>
            <w:r>
              <w:rPr>
                <w:rFonts w:hint="eastAsia"/>
              </w:rPr>
              <w:t>Beijing</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Local Temperature</w:t>
            </w:r>
          </w:p>
        </w:tc>
        <w:tc>
          <w:tcPr>
            <w:tcW w:w="3936" w:type="dxa"/>
            <w:gridSpan w:val="2"/>
            <w:tcBorders>
              <w:top w:val="single" w:sz="4" w:space="0" w:color="auto"/>
              <w:left w:val="single" w:sz="4" w:space="0" w:color="auto"/>
              <w:bottom w:val="single" w:sz="4" w:space="0" w:color="auto"/>
              <w:right w:val="single" w:sz="4" w:space="0" w:color="auto"/>
            </w:tcBorders>
            <w:vAlign w:val="center"/>
          </w:tcPr>
          <w:p w:rsidR="00227E43" w:rsidRDefault="00E22A77">
            <w:pPr>
              <w:snapToGrid w:val="0"/>
              <w:ind w:firstLineChars="200" w:firstLine="420"/>
              <w:rPr>
                <w:szCs w:val="21"/>
              </w:rPr>
            </w:pPr>
            <w:bookmarkStart w:id="4" w:name="OLE_LINK26"/>
            <w:r>
              <w:rPr>
                <w:szCs w:val="21"/>
              </w:rPr>
              <w:t>16</w:t>
            </w:r>
            <w:r>
              <w:rPr>
                <w:rFonts w:ascii="SimSun" w:hAnsi="SimSun" w:cs="SimSun" w:hint="eastAsia"/>
                <w:szCs w:val="21"/>
              </w:rPr>
              <w:t>℃</w:t>
            </w:r>
            <w:r>
              <w:rPr>
                <w:szCs w:val="21"/>
              </w:rPr>
              <w:t>-28</w:t>
            </w:r>
            <w:r>
              <w:rPr>
                <w:rFonts w:ascii="SimSun" w:hAnsi="SimSun" w:cs="SimSun" w:hint="eastAsia"/>
                <w:szCs w:val="21"/>
              </w:rPr>
              <w:t>℃</w:t>
            </w:r>
            <w:bookmarkEnd w:id="4"/>
          </w:p>
        </w:tc>
      </w:tr>
      <w:tr w:rsidR="00227E43">
        <w:trPr>
          <w:trHeight w:hRule="exact" w:val="717"/>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Cities to visit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jc w:val="center"/>
              <w:rPr>
                <w:kern w:val="0"/>
                <w:szCs w:val="21"/>
              </w:rPr>
            </w:pPr>
            <w:proofErr w:type="spellStart"/>
            <w:r>
              <w:rPr>
                <w:kern w:val="0"/>
                <w:szCs w:val="21"/>
              </w:rPr>
              <w:t>Anji</w:t>
            </w:r>
            <w:proofErr w:type="spellEnd"/>
            <w:r>
              <w:rPr>
                <w:kern w:val="0"/>
                <w:szCs w:val="21"/>
              </w:rPr>
              <w:t xml:space="preserve">, </w:t>
            </w:r>
            <w:proofErr w:type="spellStart"/>
            <w:r>
              <w:rPr>
                <w:kern w:val="0"/>
                <w:szCs w:val="21"/>
              </w:rPr>
              <w:t>Huzhou</w:t>
            </w:r>
            <w:proofErr w:type="spellEnd"/>
            <w:r>
              <w:rPr>
                <w:rFonts w:hint="eastAsia"/>
                <w:kern w:val="0"/>
                <w:szCs w:val="21"/>
              </w:rPr>
              <w:t>, Hangzhou</w:t>
            </w:r>
            <w:r>
              <w:rPr>
                <w:kern w:val="0"/>
                <w:szCs w:val="21"/>
              </w:rPr>
              <w:br/>
              <w:t>T</w:t>
            </w:r>
            <w:r>
              <w:rPr>
                <w:rFonts w:hint="eastAsia"/>
                <w:kern w:val="0"/>
                <w:szCs w:val="21"/>
              </w:rPr>
              <w:t>aiping</w:t>
            </w:r>
            <w:r>
              <w:rPr>
                <w:kern w:val="0"/>
                <w:szCs w:val="21"/>
              </w:rPr>
              <w:t xml:space="preserve">, </w:t>
            </w:r>
            <w:proofErr w:type="spellStart"/>
            <w:r>
              <w:rPr>
                <w:kern w:val="0"/>
                <w:szCs w:val="21"/>
              </w:rPr>
              <w:t>Huangshan</w:t>
            </w:r>
            <w:proofErr w:type="spellEnd"/>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jc w:val="center"/>
              <w:rPr>
                <w:szCs w:val="21"/>
              </w:rPr>
            </w:pPr>
            <w:r>
              <w:rPr>
                <w:szCs w:val="21"/>
              </w:rPr>
              <w:t xml:space="preserve">Local </w:t>
            </w:r>
            <w:r>
              <w:rPr>
                <w:szCs w:val="21"/>
              </w:rPr>
              <w:t>Temperature</w:t>
            </w: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snapToGrid w:val="0"/>
              <w:ind w:firstLineChars="200" w:firstLine="420"/>
              <w:rPr>
                <w:rFonts w:ascii="SimSun" w:hAnsi="SimSun" w:cs="SimSun"/>
                <w:szCs w:val="21"/>
              </w:rPr>
            </w:pPr>
            <w:bookmarkStart w:id="5" w:name="OLE_LINK27"/>
            <w:r>
              <w:rPr>
                <w:szCs w:val="21"/>
              </w:rPr>
              <w:t xml:space="preserve">Zhejiang province: </w:t>
            </w:r>
            <w:r>
              <w:rPr>
                <w:rFonts w:hint="eastAsia"/>
                <w:szCs w:val="21"/>
              </w:rPr>
              <w:t>17</w:t>
            </w:r>
            <w:r>
              <w:rPr>
                <w:rFonts w:ascii="SimSun" w:hAnsi="SimSun" w:cs="SimSun" w:hint="eastAsia"/>
                <w:szCs w:val="21"/>
              </w:rPr>
              <w:t>℃</w:t>
            </w:r>
            <w:r>
              <w:rPr>
                <w:szCs w:val="21"/>
              </w:rPr>
              <w:t>-</w:t>
            </w:r>
            <w:r>
              <w:rPr>
                <w:rFonts w:hint="eastAsia"/>
                <w:szCs w:val="21"/>
              </w:rPr>
              <w:t>26</w:t>
            </w:r>
            <w:r>
              <w:rPr>
                <w:rFonts w:ascii="SimSun" w:hAnsi="SimSun" w:cs="SimSun" w:hint="eastAsia"/>
                <w:szCs w:val="21"/>
              </w:rPr>
              <w:t>℃</w:t>
            </w:r>
            <w:bookmarkEnd w:id="5"/>
          </w:p>
          <w:p w:rsidR="00227E43" w:rsidRDefault="00E22A77">
            <w:pPr>
              <w:snapToGrid w:val="0"/>
              <w:ind w:firstLineChars="200" w:firstLine="420"/>
              <w:rPr>
                <w:szCs w:val="21"/>
              </w:rPr>
            </w:pPr>
            <w:r>
              <w:rPr>
                <w:szCs w:val="21"/>
              </w:rPr>
              <w:t>A</w:t>
            </w:r>
            <w:r>
              <w:rPr>
                <w:rFonts w:hint="eastAsia"/>
                <w:szCs w:val="21"/>
              </w:rPr>
              <w:t>nhui</w:t>
            </w:r>
            <w:r>
              <w:rPr>
                <w:szCs w:val="21"/>
              </w:rPr>
              <w:t xml:space="preserve"> province: 18</w:t>
            </w:r>
            <w:r>
              <w:rPr>
                <w:rFonts w:ascii="SimSun" w:hAnsi="SimSun" w:cs="SimSun" w:hint="eastAsia"/>
                <w:szCs w:val="21"/>
              </w:rPr>
              <w:t>℃</w:t>
            </w:r>
            <w:r>
              <w:rPr>
                <w:szCs w:val="21"/>
              </w:rPr>
              <w:t>-</w:t>
            </w:r>
            <w:r>
              <w:rPr>
                <w:rFonts w:hint="eastAsia"/>
                <w:szCs w:val="21"/>
              </w:rPr>
              <w:t>26</w:t>
            </w:r>
            <w:r>
              <w:rPr>
                <w:rFonts w:ascii="SimSun" w:hAnsi="SimSun" w:cs="SimSun" w:hint="eastAsia"/>
                <w:szCs w:val="21"/>
              </w:rPr>
              <w:t>℃</w:t>
            </w:r>
          </w:p>
        </w:tc>
      </w:tr>
      <w:tr w:rsidR="00227E43">
        <w:trPr>
          <w:trHeight w:hRule="exact" w:val="3115"/>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Notes</w:t>
            </w:r>
          </w:p>
        </w:tc>
        <w:tc>
          <w:tcPr>
            <w:tcW w:w="85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rPr>
                <w:szCs w:val="21"/>
              </w:rPr>
            </w:pPr>
            <w:r>
              <w:rPr>
                <w:szCs w:val="21"/>
              </w:rPr>
              <w:t xml:space="preserve">1.Please prepare a country report(PPT) on </w:t>
            </w:r>
            <w:r>
              <w:rPr>
                <w:rFonts w:hint="eastAsia"/>
                <w:szCs w:val="21"/>
              </w:rPr>
              <w:t>bamboo</w:t>
            </w:r>
            <w:r>
              <w:rPr>
                <w:szCs w:val="21"/>
              </w:rPr>
              <w:t xml:space="preserve"> and rattan resources and utilization in your country; </w:t>
            </w:r>
          </w:p>
          <w:p w:rsidR="00227E43" w:rsidRDefault="00E22A77">
            <w:pPr>
              <w:rPr>
                <w:szCs w:val="21"/>
              </w:rPr>
            </w:pPr>
            <w:r>
              <w:rPr>
                <w:szCs w:val="21"/>
              </w:rPr>
              <w:t>2.Please take one pair of comfortable shoes for outdoor visits;</w:t>
            </w:r>
          </w:p>
          <w:p w:rsidR="00227E43" w:rsidRDefault="00E22A77">
            <w:pPr>
              <w:rPr>
                <w:szCs w:val="21"/>
              </w:rPr>
            </w:pPr>
            <w:r>
              <w:rPr>
                <w:szCs w:val="21"/>
              </w:rPr>
              <w:t xml:space="preserve">3.Please take some frequently-used medicine, like malaria or cold medicine etc.; </w:t>
            </w:r>
          </w:p>
          <w:p w:rsidR="00227E43" w:rsidRDefault="00E22A77">
            <w:pPr>
              <w:rPr>
                <w:szCs w:val="21"/>
              </w:rPr>
            </w:pPr>
            <w:r>
              <w:rPr>
                <w:szCs w:val="21"/>
              </w:rPr>
              <w:t xml:space="preserve">4.Please apply for Skype account and charge for it, so you can use it to communicate with your family in China; </w:t>
            </w:r>
          </w:p>
          <w:p w:rsidR="00227E43" w:rsidRDefault="00E22A77">
            <w:pPr>
              <w:rPr>
                <w:szCs w:val="21"/>
              </w:rPr>
            </w:pPr>
            <w:r>
              <w:rPr>
                <w:szCs w:val="21"/>
              </w:rPr>
              <w:t xml:space="preserve">5.Please take your laptop in case you need it, as some hotel </w:t>
            </w:r>
            <w:r>
              <w:rPr>
                <w:szCs w:val="21"/>
              </w:rPr>
              <w:t>may not provide computers;</w:t>
            </w:r>
          </w:p>
          <w:p w:rsidR="00227E43" w:rsidRDefault="00E22A77">
            <w:pPr>
              <w:rPr>
                <w:szCs w:val="21"/>
              </w:rPr>
            </w:pPr>
            <w:r>
              <w:rPr>
                <w:szCs w:val="21"/>
              </w:rPr>
              <w:t xml:space="preserve">6.Please take one set of formal clothes or national traditional clothes for ceremony and meeting; </w:t>
            </w:r>
          </w:p>
          <w:p w:rsidR="00227E43" w:rsidRDefault="00E22A77">
            <w:pPr>
              <w:rPr>
                <w:szCs w:val="21"/>
              </w:rPr>
            </w:pPr>
            <w:r>
              <w:rPr>
                <w:szCs w:val="21"/>
              </w:rPr>
              <w:t xml:space="preserve">7.Please take business cards to exchange with related personnel during visiting companies; </w:t>
            </w:r>
          </w:p>
          <w:p w:rsidR="00227E43" w:rsidRDefault="00E22A77">
            <w:pPr>
              <w:rPr>
                <w:szCs w:val="21"/>
              </w:rPr>
            </w:pPr>
            <w:proofErr w:type="gramStart"/>
            <w:r>
              <w:rPr>
                <w:szCs w:val="21"/>
              </w:rPr>
              <w:t>8.Please</w:t>
            </w:r>
            <w:proofErr w:type="gramEnd"/>
            <w:r>
              <w:rPr>
                <w:szCs w:val="21"/>
              </w:rPr>
              <w:t xml:space="preserve"> email us in advance if you ha</w:t>
            </w:r>
            <w:r>
              <w:rPr>
                <w:szCs w:val="21"/>
              </w:rPr>
              <w:t>ve other needs about the training.</w:t>
            </w:r>
          </w:p>
        </w:tc>
      </w:tr>
      <w:tr w:rsidR="00227E43">
        <w:trPr>
          <w:trHeight w:hRule="exact" w:val="471"/>
          <w:jc w:val="center"/>
        </w:trPr>
        <w:tc>
          <w:tcPr>
            <w:tcW w:w="1392" w:type="dxa"/>
            <w:vMerge w:val="restart"/>
            <w:tcBorders>
              <w:top w:val="single" w:sz="4" w:space="0" w:color="auto"/>
              <w:left w:val="single" w:sz="4" w:space="0" w:color="auto"/>
              <w:right w:val="single" w:sz="4" w:space="0" w:color="auto"/>
            </w:tcBorders>
            <w:vAlign w:val="center"/>
          </w:tcPr>
          <w:p w:rsidR="00227E43" w:rsidRDefault="00E22A77">
            <w:pPr>
              <w:jc w:val="center"/>
              <w:rPr>
                <w:szCs w:val="21"/>
              </w:rPr>
            </w:pPr>
            <w:r>
              <w:rPr>
                <w:szCs w:val="21"/>
              </w:rPr>
              <w:t>Contact of</w:t>
            </w:r>
          </w:p>
          <w:p w:rsidR="00227E43" w:rsidRDefault="00E22A77">
            <w:pPr>
              <w:jc w:val="center"/>
              <w:rPr>
                <w:szCs w:val="21"/>
              </w:rPr>
            </w:pPr>
            <w:r>
              <w:rPr>
                <w:szCs w:val="21"/>
              </w:rPr>
              <w:t>the</w:t>
            </w:r>
          </w:p>
          <w:p w:rsidR="00227E43" w:rsidRDefault="00E22A77">
            <w:pPr>
              <w:jc w:val="center"/>
              <w:rPr>
                <w:szCs w:val="21"/>
              </w:rPr>
            </w:pPr>
            <w:r>
              <w:rPr>
                <w:szCs w:val="21"/>
              </w:rPr>
              <w:t>Organizer</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jc w:val="center"/>
              <w:rPr>
                <w:szCs w:val="21"/>
              </w:rPr>
            </w:pPr>
            <w:r>
              <w:rPr>
                <w:szCs w:val="21"/>
              </w:rPr>
              <w:t>Contact Person(s)</w:t>
            </w:r>
          </w:p>
        </w:tc>
        <w:tc>
          <w:tcPr>
            <w:tcW w:w="60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snapToGrid w:val="0"/>
              <w:spacing w:before="100" w:beforeAutospacing="1" w:after="100" w:afterAutospacing="1" w:line="300" w:lineRule="exact"/>
              <w:ind w:firstLineChars="100" w:firstLine="210"/>
              <w:jc w:val="center"/>
              <w:rPr>
                <w:szCs w:val="21"/>
              </w:rPr>
            </w:pPr>
            <w:r>
              <w:rPr>
                <w:rFonts w:hint="eastAsia"/>
                <w:szCs w:val="21"/>
              </w:rPr>
              <w:t xml:space="preserve">Dai </w:t>
            </w:r>
            <w:proofErr w:type="spellStart"/>
            <w:r>
              <w:rPr>
                <w:rFonts w:hint="eastAsia"/>
                <w:szCs w:val="21"/>
              </w:rPr>
              <w:t>Honghai</w:t>
            </w:r>
            <w:proofErr w:type="spellEnd"/>
            <w:r>
              <w:rPr>
                <w:szCs w:val="21"/>
              </w:rPr>
              <w:t xml:space="preserve">/ Wang </w:t>
            </w:r>
            <w:proofErr w:type="spellStart"/>
            <w:r>
              <w:rPr>
                <w:szCs w:val="21"/>
              </w:rPr>
              <w:t>Jian</w:t>
            </w:r>
            <w:proofErr w:type="spellEnd"/>
          </w:p>
        </w:tc>
      </w:tr>
      <w:tr w:rsidR="00227E43">
        <w:trPr>
          <w:trHeight w:hRule="exact" w:val="510"/>
          <w:jc w:val="center"/>
        </w:trPr>
        <w:tc>
          <w:tcPr>
            <w:tcW w:w="1392" w:type="dxa"/>
            <w:vMerge/>
            <w:tcBorders>
              <w:left w:val="single" w:sz="4" w:space="0" w:color="auto"/>
              <w:right w:val="single" w:sz="4" w:space="0" w:color="auto"/>
            </w:tcBorders>
            <w:vAlign w:val="center"/>
          </w:tcPr>
          <w:p w:rsidR="00227E43" w:rsidRDefault="00227E43">
            <w:pPr>
              <w:jc w:val="center"/>
              <w:rPr>
                <w:szCs w:val="21"/>
                <w:lang w:val="de-DE"/>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jc w:val="center"/>
              <w:rPr>
                <w:szCs w:val="21"/>
              </w:rPr>
            </w:pPr>
            <w:r>
              <w:rPr>
                <w:szCs w:val="21"/>
              </w:rPr>
              <w:t>Telephone</w:t>
            </w:r>
          </w:p>
        </w:tc>
        <w:tc>
          <w:tcPr>
            <w:tcW w:w="60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snapToGrid w:val="0"/>
              <w:jc w:val="center"/>
              <w:rPr>
                <w:szCs w:val="21"/>
              </w:rPr>
            </w:pPr>
            <w:r>
              <w:rPr>
                <w:rFonts w:hint="eastAsia"/>
                <w:szCs w:val="21"/>
              </w:rPr>
              <w:t xml:space="preserve">0086-10-84789735 </w:t>
            </w:r>
            <w:r>
              <w:rPr>
                <w:szCs w:val="21"/>
              </w:rPr>
              <w:t>(Dai)</w:t>
            </w:r>
          </w:p>
          <w:p w:rsidR="00227E43" w:rsidRDefault="00E22A77">
            <w:pPr>
              <w:snapToGrid w:val="0"/>
              <w:jc w:val="center"/>
              <w:rPr>
                <w:szCs w:val="21"/>
              </w:rPr>
            </w:pPr>
            <w:r>
              <w:rPr>
                <w:szCs w:val="21"/>
              </w:rPr>
              <w:t>0086-10-84789</w:t>
            </w:r>
            <w:r>
              <w:rPr>
                <w:rFonts w:hint="eastAsia"/>
                <w:szCs w:val="21"/>
              </w:rPr>
              <w:t>783 (</w:t>
            </w:r>
            <w:r>
              <w:rPr>
                <w:szCs w:val="21"/>
              </w:rPr>
              <w:t>Wang</w:t>
            </w:r>
            <w:r>
              <w:rPr>
                <w:rFonts w:hint="eastAsia"/>
                <w:szCs w:val="21"/>
              </w:rPr>
              <w:t>)</w:t>
            </w:r>
          </w:p>
        </w:tc>
      </w:tr>
      <w:tr w:rsidR="00227E43">
        <w:trPr>
          <w:trHeight w:hRule="exact" w:val="510"/>
          <w:jc w:val="center"/>
        </w:trPr>
        <w:tc>
          <w:tcPr>
            <w:tcW w:w="1392" w:type="dxa"/>
            <w:vMerge/>
            <w:tcBorders>
              <w:left w:val="single" w:sz="4" w:space="0" w:color="auto"/>
              <w:right w:val="single" w:sz="4" w:space="0" w:color="auto"/>
            </w:tcBorders>
            <w:vAlign w:val="center"/>
          </w:tcPr>
          <w:p w:rsidR="00227E43" w:rsidRDefault="00227E43">
            <w:pPr>
              <w:jc w:val="center"/>
              <w:rPr>
                <w:szCs w:val="21"/>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jc w:val="center"/>
              <w:rPr>
                <w:szCs w:val="21"/>
              </w:rPr>
            </w:pPr>
            <w:r>
              <w:rPr>
                <w:szCs w:val="21"/>
              </w:rPr>
              <w:t>Cell</w:t>
            </w:r>
          </w:p>
        </w:tc>
        <w:tc>
          <w:tcPr>
            <w:tcW w:w="60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snapToGrid w:val="0"/>
              <w:jc w:val="center"/>
              <w:rPr>
                <w:szCs w:val="21"/>
              </w:rPr>
            </w:pPr>
            <w:r>
              <w:rPr>
                <w:rFonts w:hint="eastAsia"/>
                <w:szCs w:val="21"/>
              </w:rPr>
              <w:t>00</w:t>
            </w:r>
            <w:r>
              <w:rPr>
                <w:szCs w:val="21"/>
              </w:rPr>
              <w:t>86-13</w:t>
            </w:r>
            <w:r>
              <w:rPr>
                <w:rFonts w:hint="eastAsia"/>
                <w:szCs w:val="21"/>
              </w:rPr>
              <w:t>501235098</w:t>
            </w:r>
            <w:r>
              <w:rPr>
                <w:szCs w:val="21"/>
              </w:rPr>
              <w:t xml:space="preserve"> (Dai)</w:t>
            </w:r>
          </w:p>
          <w:p w:rsidR="00227E43" w:rsidRDefault="00E22A77">
            <w:pPr>
              <w:snapToGrid w:val="0"/>
              <w:jc w:val="center"/>
              <w:rPr>
                <w:szCs w:val="21"/>
              </w:rPr>
            </w:pPr>
            <w:r>
              <w:rPr>
                <w:rFonts w:hint="eastAsia"/>
                <w:szCs w:val="21"/>
              </w:rPr>
              <w:t>0086-13381227286 (</w:t>
            </w:r>
            <w:r>
              <w:rPr>
                <w:szCs w:val="21"/>
              </w:rPr>
              <w:t>Wang</w:t>
            </w:r>
            <w:r>
              <w:rPr>
                <w:rFonts w:hint="eastAsia"/>
                <w:szCs w:val="21"/>
              </w:rPr>
              <w:t>)</w:t>
            </w:r>
          </w:p>
        </w:tc>
      </w:tr>
      <w:tr w:rsidR="00227E43">
        <w:trPr>
          <w:trHeight w:hRule="exact" w:val="471"/>
          <w:jc w:val="center"/>
        </w:trPr>
        <w:tc>
          <w:tcPr>
            <w:tcW w:w="1392" w:type="dxa"/>
            <w:vMerge/>
            <w:tcBorders>
              <w:left w:val="single" w:sz="4" w:space="0" w:color="auto"/>
              <w:right w:val="single" w:sz="4" w:space="0" w:color="auto"/>
            </w:tcBorders>
            <w:vAlign w:val="center"/>
          </w:tcPr>
          <w:p w:rsidR="00227E43" w:rsidRDefault="00227E43">
            <w:pPr>
              <w:jc w:val="center"/>
              <w:rPr>
                <w:szCs w:val="21"/>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jc w:val="center"/>
              <w:rPr>
                <w:szCs w:val="21"/>
              </w:rPr>
            </w:pPr>
            <w:r>
              <w:rPr>
                <w:szCs w:val="21"/>
              </w:rPr>
              <w:t>Fax</w:t>
            </w:r>
          </w:p>
        </w:tc>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rsidR="00227E43" w:rsidRDefault="00E22A77">
            <w:pPr>
              <w:spacing w:line="360" w:lineRule="auto"/>
              <w:jc w:val="center"/>
              <w:rPr>
                <w:szCs w:val="21"/>
              </w:rPr>
            </w:pPr>
            <w:r>
              <w:rPr>
                <w:rFonts w:hint="eastAsia"/>
                <w:szCs w:val="21"/>
              </w:rPr>
              <w:t>00</w:t>
            </w:r>
            <w:r>
              <w:rPr>
                <w:szCs w:val="21"/>
              </w:rPr>
              <w:t>86-10-</w:t>
            </w:r>
            <w:r>
              <w:rPr>
                <w:rFonts w:hint="eastAsia"/>
                <w:szCs w:val="21"/>
              </w:rPr>
              <w:t>64722290</w:t>
            </w:r>
          </w:p>
        </w:tc>
      </w:tr>
      <w:tr w:rsidR="00227E43">
        <w:trPr>
          <w:trHeight w:hRule="exact" w:val="471"/>
          <w:jc w:val="center"/>
        </w:trPr>
        <w:tc>
          <w:tcPr>
            <w:tcW w:w="1392" w:type="dxa"/>
            <w:vMerge/>
            <w:tcBorders>
              <w:left w:val="single" w:sz="4" w:space="0" w:color="auto"/>
              <w:bottom w:val="single" w:sz="4" w:space="0" w:color="auto"/>
              <w:right w:val="single" w:sz="4" w:space="0" w:color="auto"/>
            </w:tcBorders>
            <w:vAlign w:val="center"/>
          </w:tcPr>
          <w:p w:rsidR="00227E43" w:rsidRDefault="00227E43">
            <w:pPr>
              <w:jc w:val="center"/>
              <w:rPr>
                <w:szCs w:val="21"/>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jc w:val="center"/>
              <w:rPr>
                <w:szCs w:val="21"/>
              </w:rPr>
            </w:pPr>
            <w:r>
              <w:rPr>
                <w:szCs w:val="21"/>
              </w:rPr>
              <w:t>E-mail</w:t>
            </w:r>
          </w:p>
        </w:tc>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rsidR="00227E43" w:rsidRDefault="00E22A77">
            <w:pPr>
              <w:spacing w:line="360" w:lineRule="auto"/>
              <w:jc w:val="center"/>
              <w:rPr>
                <w:szCs w:val="21"/>
              </w:rPr>
            </w:pPr>
            <w:r>
              <w:rPr>
                <w:szCs w:val="21"/>
              </w:rPr>
              <w:t>ICBRAid</w:t>
            </w:r>
            <w:r>
              <w:rPr>
                <w:rFonts w:hint="eastAsia"/>
                <w:szCs w:val="21"/>
              </w:rPr>
              <w:t>@126.com</w:t>
            </w:r>
          </w:p>
        </w:tc>
      </w:tr>
      <w:tr w:rsidR="00227E43">
        <w:trPr>
          <w:trHeight w:val="6894"/>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lastRenderedPageBreak/>
              <w:t>About</w:t>
            </w:r>
          </w:p>
          <w:p w:rsidR="00227E43" w:rsidRDefault="00E22A77">
            <w:pPr>
              <w:jc w:val="center"/>
              <w:rPr>
                <w:szCs w:val="21"/>
              </w:rPr>
            </w:pPr>
            <w:r>
              <w:rPr>
                <w:szCs w:val="21"/>
              </w:rPr>
              <w:t>The</w:t>
            </w:r>
          </w:p>
          <w:p w:rsidR="00227E43" w:rsidRDefault="00E22A77">
            <w:pPr>
              <w:jc w:val="center"/>
              <w:rPr>
                <w:szCs w:val="21"/>
              </w:rPr>
            </w:pPr>
            <w:r>
              <w:rPr>
                <w:szCs w:val="21"/>
              </w:rPr>
              <w:t>Organizer</w:t>
            </w:r>
          </w:p>
        </w:tc>
        <w:tc>
          <w:tcPr>
            <w:tcW w:w="85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27E43" w:rsidRDefault="00E22A77">
            <w:pPr>
              <w:ind w:firstLineChars="200" w:firstLine="420"/>
            </w:pPr>
            <w:r>
              <w:t xml:space="preserve">The International Centre for Bamboo and Rattan (ICBR) was approved to be established in 2000 by State Commission Office for Public Sector Reform, the Ministry of Finance, the Ministry of Science and Technology, which was a </w:t>
            </w:r>
            <w:r>
              <w:t xml:space="preserve">non-profit research institution under the State Forestry Administration (SFA). Its mission is to directly serve the first China-based intergovernmental international organization - the International Network of Bamboo and Rattan (INBAR) - in supporting and </w:t>
            </w:r>
            <w:r>
              <w:t>cooperating with the work of INBAR to promote sustainable development of the international bamboo and rattan industries.</w:t>
            </w:r>
          </w:p>
          <w:p w:rsidR="00227E43" w:rsidRDefault="00E22A77">
            <w:pPr>
              <w:ind w:firstLineChars="200" w:firstLine="420"/>
            </w:pPr>
            <w:r>
              <w:t>ICBR’s main responsibilities and tasks are: to launch scientific research in bamboo and rattan for better resource conservation, develo</w:t>
            </w:r>
            <w:r>
              <w:t>pment and utilization; to carry out international cooperation and exchanges in related fields for INBAR member countries; to train senior professionals by disciplinary and personnel development; to spread out scientific R&amp;D, technological services and prom</w:t>
            </w:r>
            <w:r>
              <w:t>oting use of the products to speed up the bamboo industry; to unfold both international and domestic technical training; and to provide logistics support services to headquarter of INBAR.</w:t>
            </w:r>
          </w:p>
          <w:p w:rsidR="00227E43" w:rsidRDefault="00E22A77">
            <w:pPr>
              <w:ind w:firstLineChars="200" w:firstLine="420"/>
            </w:pPr>
            <w:r>
              <w:t xml:space="preserve">Since 2005, </w:t>
            </w:r>
            <w:r>
              <w:rPr>
                <w:rFonts w:hint="eastAsia"/>
              </w:rPr>
              <w:t>sponsored by Ministry of Commerce</w:t>
            </w:r>
            <w:r>
              <w:t xml:space="preserve"> and State Forestry Adm</w:t>
            </w:r>
            <w:r>
              <w:t>inistration</w:t>
            </w:r>
            <w:r>
              <w:rPr>
                <w:rFonts w:hint="eastAsia"/>
              </w:rPr>
              <w:t xml:space="preserve">, </w:t>
            </w:r>
            <w:r>
              <w:t xml:space="preserve">ICBR </w:t>
            </w:r>
            <w:r>
              <w:rPr>
                <w:rFonts w:hint="eastAsia"/>
              </w:rPr>
              <w:t>organiz</w:t>
            </w:r>
            <w:r>
              <w:t>ed 2</w:t>
            </w:r>
            <w:r>
              <w:rPr>
                <w:rFonts w:hint="eastAsia"/>
              </w:rPr>
              <w:t>8</w:t>
            </w:r>
            <w:r>
              <w:t xml:space="preserve"> international seminars themed on bamboo &amp; rattan or </w:t>
            </w:r>
            <w:r>
              <w:rPr>
                <w:rFonts w:hint="eastAsia"/>
              </w:rPr>
              <w:t>combating</w:t>
            </w:r>
            <w:r>
              <w:t xml:space="preserve"> desertification; it has trained a total of 818</w:t>
            </w:r>
            <w:r>
              <w:rPr>
                <w:rFonts w:hint="eastAsia"/>
              </w:rPr>
              <w:t xml:space="preserve"> </w:t>
            </w:r>
            <w:r>
              <w:t xml:space="preserve">senior government officials, business executives and senior technical staff from 80 countries. </w:t>
            </w:r>
            <w:r>
              <w:rPr>
                <w:rFonts w:hint="eastAsia"/>
              </w:rPr>
              <w:t>These seminars play a</w:t>
            </w:r>
            <w:r>
              <w:rPr>
                <w:rFonts w:hint="eastAsia"/>
              </w:rPr>
              <w:t xml:space="preserve"> very important role in promoting the development of bamboo and rattan sector and combating desertification worldwide. </w:t>
            </w:r>
            <w:r>
              <w:t xml:space="preserve">It is noteworthy that Premier Li </w:t>
            </w:r>
            <w:proofErr w:type="spellStart"/>
            <w:r>
              <w:t>Keqiang</w:t>
            </w:r>
            <w:proofErr w:type="spellEnd"/>
            <w:r>
              <w:t xml:space="preserve"> met with the Ministers who joined the Ministerial Workshop on Bamboo and Rattan, and Mr. Ban Ki-</w:t>
            </w:r>
            <w:r>
              <w:t>moon, the Secretary General of the United Nations sent a congratulatory message for International Seminar </w:t>
            </w:r>
            <w:r>
              <w:rPr>
                <w:rFonts w:hint="eastAsia"/>
              </w:rPr>
              <w:t>on</w:t>
            </w:r>
            <w:r>
              <w:t xml:space="preserve"> the </w:t>
            </w:r>
            <w:r>
              <w:rPr>
                <w:rFonts w:hint="eastAsia"/>
              </w:rPr>
              <w:t>Combating</w:t>
            </w:r>
            <w:r>
              <w:t xml:space="preserve"> Desertification </w:t>
            </w:r>
            <w:r>
              <w:rPr>
                <w:rFonts w:hint="eastAsia"/>
              </w:rPr>
              <w:t>for African Countries</w:t>
            </w:r>
            <w:r>
              <w:t xml:space="preserve"> in 2011.</w:t>
            </w:r>
          </w:p>
        </w:tc>
      </w:tr>
      <w:tr w:rsidR="00227E43">
        <w:trPr>
          <w:trHeight w:val="416"/>
          <w:jc w:val="center"/>
        </w:trPr>
        <w:tc>
          <w:tcPr>
            <w:tcW w:w="1392" w:type="dxa"/>
            <w:tcBorders>
              <w:top w:val="single" w:sz="4" w:space="0" w:color="auto"/>
              <w:left w:val="single" w:sz="4" w:space="0" w:color="auto"/>
              <w:bottom w:val="single" w:sz="4" w:space="0" w:color="auto"/>
              <w:right w:val="single" w:sz="4" w:space="0" w:color="auto"/>
            </w:tcBorders>
            <w:vAlign w:val="center"/>
          </w:tcPr>
          <w:p w:rsidR="00227E43" w:rsidRDefault="00E22A77">
            <w:pPr>
              <w:jc w:val="center"/>
              <w:rPr>
                <w:szCs w:val="21"/>
              </w:rPr>
            </w:pPr>
            <w:r>
              <w:rPr>
                <w:szCs w:val="21"/>
              </w:rPr>
              <w:t>Seminar Content</w:t>
            </w:r>
          </w:p>
        </w:tc>
        <w:tc>
          <w:tcPr>
            <w:tcW w:w="8550" w:type="dxa"/>
            <w:gridSpan w:val="6"/>
            <w:tcBorders>
              <w:left w:val="single" w:sz="4" w:space="0" w:color="auto"/>
              <w:bottom w:val="single" w:sz="4" w:space="0" w:color="auto"/>
              <w:right w:val="single" w:sz="4" w:space="0" w:color="auto"/>
            </w:tcBorders>
            <w:shd w:val="clear" w:color="auto" w:fill="auto"/>
            <w:vAlign w:val="center"/>
          </w:tcPr>
          <w:p w:rsidR="00227E43" w:rsidRDefault="00E22A77">
            <w:pPr>
              <w:ind w:firstLineChars="200" w:firstLine="420"/>
            </w:pPr>
            <w:r>
              <w:t xml:space="preserve">Sponsored by Ministry of Commerce of China, ICBR will organize </w:t>
            </w:r>
            <w:r>
              <w:rPr>
                <w:rFonts w:hint="eastAsia"/>
              </w:rPr>
              <w:t xml:space="preserve">the </w:t>
            </w:r>
            <w:r>
              <w:t xml:space="preserve">Seminar on Scientific and Technological Innovation Capacity and Standardization of Bamboo Industry for Developing Countries 2017. </w:t>
            </w:r>
            <w:r>
              <w:rPr>
                <w:rFonts w:hint="eastAsia"/>
              </w:rPr>
              <w:t xml:space="preserve">Focusing on </w:t>
            </w:r>
            <w:r>
              <w:t>technological innovation of bamboo industry and bamboo standardization, t</w:t>
            </w:r>
            <w:r>
              <w:rPr>
                <w:rFonts w:hint="eastAsia"/>
              </w:rPr>
              <w:t>he seminar will cover the following topic</w:t>
            </w:r>
            <w:r>
              <w:rPr>
                <w:rFonts w:hint="eastAsia"/>
              </w:rPr>
              <w:t xml:space="preserve">s: </w:t>
            </w:r>
            <w:r>
              <w:t>the</w:t>
            </w:r>
            <w:r>
              <w:rPr>
                <w:rFonts w:hint="eastAsia"/>
              </w:rPr>
              <w:t xml:space="preserve"> </w:t>
            </w:r>
            <w:r>
              <w:t>overview of bamboo resources</w:t>
            </w:r>
            <w:r>
              <w:rPr>
                <w:rFonts w:hint="eastAsia"/>
              </w:rPr>
              <w:t xml:space="preserve"> in China and rest of </w:t>
            </w:r>
            <w:r>
              <w:t>the world</w:t>
            </w:r>
            <w:r>
              <w:rPr>
                <w:rFonts w:hint="eastAsia"/>
              </w:rPr>
              <w:t xml:space="preserve">; </w:t>
            </w:r>
            <w:r>
              <w:t>policies</w:t>
            </w:r>
            <w:r>
              <w:rPr>
                <w:rFonts w:hint="eastAsia"/>
              </w:rPr>
              <w:t xml:space="preserve"> on </w:t>
            </w:r>
            <w:r>
              <w:t>bamboo industry development</w:t>
            </w:r>
            <w:r>
              <w:rPr>
                <w:rFonts w:hint="eastAsia"/>
              </w:rPr>
              <w:t xml:space="preserve"> in China; </w:t>
            </w:r>
            <w:r>
              <w:t>bamboo</w:t>
            </w:r>
            <w:r>
              <w:rPr>
                <w:rFonts w:hint="eastAsia"/>
              </w:rPr>
              <w:t xml:space="preserve"> role</w:t>
            </w:r>
            <w:r>
              <w:t xml:space="preserve"> in</w:t>
            </w:r>
            <w:r>
              <w:rPr>
                <w:rFonts w:hint="eastAsia"/>
              </w:rPr>
              <w:t xml:space="preserve"> </w:t>
            </w:r>
            <w:r>
              <w:t>poverty eradication and income</w:t>
            </w:r>
            <w:r>
              <w:rPr>
                <w:rFonts w:hint="eastAsia"/>
              </w:rPr>
              <w:t xml:space="preserve"> increasing; </w:t>
            </w:r>
            <w:r>
              <w:t>China standardization system and its development; Development and standardizatio</w:t>
            </w:r>
            <w:r>
              <w:t>n of bamboo and rattan products</w:t>
            </w:r>
            <w:r>
              <w:rPr>
                <w:rFonts w:hint="eastAsia"/>
              </w:rPr>
              <w:t xml:space="preserve">; </w:t>
            </w:r>
            <w:r>
              <w:t>Bamboo innovative construction and standardization; ISO bamboo standardization, and bamboo and rattan products' customs code and international trade</w:t>
            </w:r>
            <w:r>
              <w:rPr>
                <w:rFonts w:hint="eastAsia"/>
              </w:rPr>
              <w:t>, etc. O</w:t>
            </w:r>
            <w:r>
              <w:t xml:space="preserve">n the basis of </w:t>
            </w:r>
            <w:r>
              <w:rPr>
                <w:rFonts w:hint="eastAsia"/>
              </w:rPr>
              <w:t xml:space="preserve">lectures, </w:t>
            </w:r>
            <w:r>
              <w:t>extensive exchanges and</w:t>
            </w:r>
            <w:r>
              <w:rPr>
                <w:rFonts w:hint="eastAsia"/>
              </w:rPr>
              <w:t xml:space="preserve"> </w:t>
            </w:r>
            <w:r>
              <w:t xml:space="preserve">in-depth </w:t>
            </w:r>
            <w:r>
              <w:t>discussion</w:t>
            </w:r>
            <w:r>
              <w:rPr>
                <w:rFonts w:hint="eastAsia"/>
              </w:rPr>
              <w:t xml:space="preserve"> among participants and lecturers also arranged during the seminar. At the same time, f</w:t>
            </w:r>
            <w:r>
              <w:t xml:space="preserve">ield trips </w:t>
            </w:r>
            <w:r>
              <w:rPr>
                <w:rFonts w:hint="eastAsia"/>
              </w:rPr>
              <w:t xml:space="preserve">to </w:t>
            </w:r>
            <w:r>
              <w:t>China Bamboo Towns in Anhui</w:t>
            </w:r>
            <w:r>
              <w:rPr>
                <w:rFonts w:hint="eastAsia"/>
              </w:rPr>
              <w:t xml:space="preserve"> and </w:t>
            </w:r>
            <w:r>
              <w:t>Zhejiang</w:t>
            </w:r>
            <w:r>
              <w:rPr>
                <w:rFonts w:hint="eastAsia"/>
              </w:rPr>
              <w:t xml:space="preserve"> </w:t>
            </w:r>
            <w:r>
              <w:t xml:space="preserve">Provinces </w:t>
            </w:r>
            <w:r>
              <w:rPr>
                <w:rFonts w:hint="eastAsia"/>
              </w:rPr>
              <w:t>will also be organized</w:t>
            </w:r>
            <w:r>
              <w:t>.</w:t>
            </w:r>
            <w:r>
              <w:rPr>
                <w:rFonts w:hint="eastAsia"/>
              </w:rPr>
              <w:t xml:space="preserve"> </w:t>
            </w:r>
            <w:r>
              <w:t>The participants are also invited to attend the “International Seminar</w:t>
            </w:r>
            <w:r>
              <w:t xml:space="preserve"> on Bamboo Standardization”, jointly organized by ICBR, ISO/TC 296 and INBAR. </w:t>
            </w:r>
          </w:p>
          <w:p w:rsidR="00227E43" w:rsidRDefault="00E22A77">
            <w:pPr>
              <w:ind w:firstLineChars="200" w:firstLine="420"/>
            </w:pPr>
            <w:r>
              <w:rPr>
                <w:rFonts w:hint="eastAsia"/>
              </w:rPr>
              <w:t xml:space="preserve">Through learning and exchanging </w:t>
            </w:r>
            <w:r>
              <w:t>advanced experience</w:t>
            </w:r>
            <w:r>
              <w:rPr>
                <w:rFonts w:hint="eastAsia"/>
              </w:rPr>
              <w:t xml:space="preserve"> of sustainable management and </w:t>
            </w:r>
            <w:r>
              <w:rPr>
                <w:rFonts w:hint="eastAsia"/>
              </w:rPr>
              <w:lastRenderedPageBreak/>
              <w:t xml:space="preserve">utilization of bamboo resources, </w:t>
            </w:r>
            <w:r>
              <w:t xml:space="preserve">technological innovation </w:t>
            </w:r>
            <w:r>
              <w:rPr>
                <w:rFonts w:hint="eastAsia"/>
              </w:rPr>
              <w:t xml:space="preserve">and </w:t>
            </w:r>
            <w:r>
              <w:t>standardization</w:t>
            </w:r>
            <w:r>
              <w:rPr>
                <w:rFonts w:hint="eastAsia"/>
              </w:rPr>
              <w:t>, to enhance</w:t>
            </w:r>
            <w:r>
              <w:t xml:space="preserve"> </w:t>
            </w:r>
            <w:r>
              <w:rPr>
                <w:rFonts w:hint="eastAsia"/>
              </w:rPr>
              <w:t>under</w:t>
            </w:r>
            <w:r>
              <w:rPr>
                <w:rFonts w:hint="eastAsia"/>
              </w:rPr>
              <w:t xml:space="preserve">standing of </w:t>
            </w:r>
            <w:r>
              <w:t xml:space="preserve">senior government officials </w:t>
            </w:r>
            <w:r>
              <w:rPr>
                <w:rFonts w:hint="eastAsia"/>
              </w:rPr>
              <w:t>from</w:t>
            </w:r>
            <w:r>
              <w:t xml:space="preserve"> developing countries </w:t>
            </w:r>
            <w:r>
              <w:rPr>
                <w:rFonts w:hint="eastAsia"/>
              </w:rPr>
              <w:t xml:space="preserve">on </w:t>
            </w:r>
            <w:r>
              <w:t xml:space="preserve">the </w:t>
            </w:r>
            <w:r>
              <w:rPr>
                <w:rFonts w:hint="eastAsia"/>
              </w:rPr>
              <w:t xml:space="preserve">important </w:t>
            </w:r>
            <w:r>
              <w:t xml:space="preserve">role </w:t>
            </w:r>
            <w:r>
              <w:rPr>
                <w:rFonts w:hint="eastAsia"/>
              </w:rPr>
              <w:t xml:space="preserve">that </w:t>
            </w:r>
            <w:r>
              <w:t>bamboo</w:t>
            </w:r>
            <w:r>
              <w:rPr>
                <w:rFonts w:hint="eastAsia"/>
              </w:rPr>
              <w:t xml:space="preserve"> has played</w:t>
            </w:r>
            <w:r>
              <w:t xml:space="preserve"> </w:t>
            </w:r>
            <w:r>
              <w:rPr>
                <w:rFonts w:hint="eastAsia"/>
              </w:rPr>
              <w:t xml:space="preserve">in </w:t>
            </w:r>
            <w:r>
              <w:t xml:space="preserve">poverty alleviation and environmental protection </w:t>
            </w:r>
            <w:r>
              <w:rPr>
                <w:rFonts w:hint="eastAsia"/>
              </w:rPr>
              <w:t xml:space="preserve">through </w:t>
            </w:r>
            <w:r>
              <w:t>high-level exchanges</w:t>
            </w:r>
            <w:r>
              <w:rPr>
                <w:rFonts w:hint="eastAsia"/>
              </w:rPr>
              <w:t xml:space="preserve">, </w:t>
            </w:r>
            <w:r>
              <w:t>and eventually promote the sustainable development of bamboo in</w:t>
            </w:r>
            <w:r>
              <w:t>dustries and fair trade order in developing countries.</w:t>
            </w:r>
          </w:p>
        </w:tc>
      </w:tr>
    </w:tbl>
    <w:p w:rsidR="00227E43" w:rsidRDefault="00227E43">
      <w:pPr>
        <w:spacing w:line="500" w:lineRule="exact"/>
      </w:pPr>
    </w:p>
    <w:sectPr w:rsidR="00227E43">
      <w:pgSz w:w="11906" w:h="16838"/>
      <w:pgMar w:top="1418"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SimSun"/>
    <w:charset w:val="86"/>
    <w:family w:val="auto"/>
    <w:pitch w:val="default"/>
    <w:sig w:usb0="00000000" w:usb1="00000000" w:usb2="00000016" w:usb3="00000000" w:csb0="0004000F" w:csb1="00000000"/>
  </w:font>
  <w:font w:name="DengXian">
    <w:altName w:val="微软雅黑"/>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338C"/>
    <w:multiLevelType w:val="multilevel"/>
    <w:tmpl w:val="27E2338C"/>
    <w:lvl w:ilvl="0">
      <w:start w:val="1"/>
      <w:numFmt w:val="decimal"/>
      <w:pStyle w:val="Char"/>
      <w:lvlText w:val="%1a."/>
      <w:lvlJc w:val="left"/>
      <w:pPr>
        <w:tabs>
          <w:tab w:val="left" w:pos="425"/>
        </w:tabs>
        <w:ind w:left="425" w:hanging="425"/>
      </w:pPr>
      <w:rPr>
        <w:rFonts w:ascii="SimSun" w:eastAsia="SimSun" w:hint="eastAsia"/>
        <w:b w:val="0"/>
        <w:i w:val="0"/>
        <w:sz w:val="28"/>
        <w:szCs w:val="28"/>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82"/>
    <w:rsid w:val="00006D73"/>
    <w:rsid w:val="00016FCA"/>
    <w:rsid w:val="00024639"/>
    <w:rsid w:val="00041B9B"/>
    <w:rsid w:val="00043105"/>
    <w:rsid w:val="000479E3"/>
    <w:rsid w:val="00053C65"/>
    <w:rsid w:val="00056598"/>
    <w:rsid w:val="000816CF"/>
    <w:rsid w:val="00090C90"/>
    <w:rsid w:val="000918AF"/>
    <w:rsid w:val="000A2750"/>
    <w:rsid w:val="000C10AB"/>
    <w:rsid w:val="000C21AA"/>
    <w:rsid w:val="000C4BEA"/>
    <w:rsid w:val="000C5612"/>
    <w:rsid w:val="000C7013"/>
    <w:rsid w:val="000D189E"/>
    <w:rsid w:val="000D5783"/>
    <w:rsid w:val="000D6FFB"/>
    <w:rsid w:val="000E2D8B"/>
    <w:rsid w:val="000E5E6E"/>
    <w:rsid w:val="000E67FA"/>
    <w:rsid w:val="000F7205"/>
    <w:rsid w:val="00117804"/>
    <w:rsid w:val="00144D6F"/>
    <w:rsid w:val="001566AA"/>
    <w:rsid w:val="00160B9E"/>
    <w:rsid w:val="001627CC"/>
    <w:rsid w:val="00163321"/>
    <w:rsid w:val="00191CC8"/>
    <w:rsid w:val="001922E9"/>
    <w:rsid w:val="001A0684"/>
    <w:rsid w:val="001B2619"/>
    <w:rsid w:val="001B3239"/>
    <w:rsid w:val="001E11EA"/>
    <w:rsid w:val="001E3498"/>
    <w:rsid w:val="001F01E2"/>
    <w:rsid w:val="001F5785"/>
    <w:rsid w:val="001F61AB"/>
    <w:rsid w:val="00200DED"/>
    <w:rsid w:val="00205C46"/>
    <w:rsid w:val="00215B97"/>
    <w:rsid w:val="00223948"/>
    <w:rsid w:val="00227E43"/>
    <w:rsid w:val="00234026"/>
    <w:rsid w:val="00236289"/>
    <w:rsid w:val="00242CB0"/>
    <w:rsid w:val="00243316"/>
    <w:rsid w:val="00246CCF"/>
    <w:rsid w:val="00254634"/>
    <w:rsid w:val="002708FF"/>
    <w:rsid w:val="00271096"/>
    <w:rsid w:val="0027216C"/>
    <w:rsid w:val="00284396"/>
    <w:rsid w:val="00294D6F"/>
    <w:rsid w:val="0029653B"/>
    <w:rsid w:val="002C45B8"/>
    <w:rsid w:val="002C7CBC"/>
    <w:rsid w:val="002D2B94"/>
    <w:rsid w:val="002E31F3"/>
    <w:rsid w:val="00306A64"/>
    <w:rsid w:val="00320DD0"/>
    <w:rsid w:val="00320DDA"/>
    <w:rsid w:val="0032349B"/>
    <w:rsid w:val="00325DE9"/>
    <w:rsid w:val="00343DD9"/>
    <w:rsid w:val="00345E11"/>
    <w:rsid w:val="00350446"/>
    <w:rsid w:val="00367E80"/>
    <w:rsid w:val="00371625"/>
    <w:rsid w:val="00374AF8"/>
    <w:rsid w:val="003861A3"/>
    <w:rsid w:val="00391C2E"/>
    <w:rsid w:val="003A0FAA"/>
    <w:rsid w:val="003D022E"/>
    <w:rsid w:val="003D1FDF"/>
    <w:rsid w:val="003D7F15"/>
    <w:rsid w:val="003F01B4"/>
    <w:rsid w:val="00403322"/>
    <w:rsid w:val="00405915"/>
    <w:rsid w:val="004203B5"/>
    <w:rsid w:val="00435D6E"/>
    <w:rsid w:val="0044017A"/>
    <w:rsid w:val="004432C2"/>
    <w:rsid w:val="004472EC"/>
    <w:rsid w:val="0044774E"/>
    <w:rsid w:val="00454287"/>
    <w:rsid w:val="004578D2"/>
    <w:rsid w:val="004606BD"/>
    <w:rsid w:val="004669AA"/>
    <w:rsid w:val="00487971"/>
    <w:rsid w:val="00496EE4"/>
    <w:rsid w:val="004A14D5"/>
    <w:rsid w:val="004A7F21"/>
    <w:rsid w:val="004B2865"/>
    <w:rsid w:val="004B2DEA"/>
    <w:rsid w:val="004C15D8"/>
    <w:rsid w:val="004C291C"/>
    <w:rsid w:val="004C40EA"/>
    <w:rsid w:val="004E4A82"/>
    <w:rsid w:val="004F599F"/>
    <w:rsid w:val="0050500E"/>
    <w:rsid w:val="00506965"/>
    <w:rsid w:val="00522233"/>
    <w:rsid w:val="0052633E"/>
    <w:rsid w:val="005304AA"/>
    <w:rsid w:val="005339D5"/>
    <w:rsid w:val="005376DD"/>
    <w:rsid w:val="00543CCC"/>
    <w:rsid w:val="005462CA"/>
    <w:rsid w:val="005707E4"/>
    <w:rsid w:val="00573838"/>
    <w:rsid w:val="00573DAE"/>
    <w:rsid w:val="00574AF3"/>
    <w:rsid w:val="00593A17"/>
    <w:rsid w:val="005B5FF0"/>
    <w:rsid w:val="005E75AC"/>
    <w:rsid w:val="005F00FF"/>
    <w:rsid w:val="005F170A"/>
    <w:rsid w:val="00601C41"/>
    <w:rsid w:val="00621622"/>
    <w:rsid w:val="00624D5F"/>
    <w:rsid w:val="00624F6B"/>
    <w:rsid w:val="00684722"/>
    <w:rsid w:val="00687183"/>
    <w:rsid w:val="00687FA0"/>
    <w:rsid w:val="00690E00"/>
    <w:rsid w:val="006B2C10"/>
    <w:rsid w:val="006B5F05"/>
    <w:rsid w:val="006C26F7"/>
    <w:rsid w:val="006C7FE1"/>
    <w:rsid w:val="006D1F2D"/>
    <w:rsid w:val="006E63B6"/>
    <w:rsid w:val="006F1696"/>
    <w:rsid w:val="00702A09"/>
    <w:rsid w:val="00705A07"/>
    <w:rsid w:val="00711B9D"/>
    <w:rsid w:val="007132D8"/>
    <w:rsid w:val="00713C71"/>
    <w:rsid w:val="00717150"/>
    <w:rsid w:val="007226C5"/>
    <w:rsid w:val="0073114B"/>
    <w:rsid w:val="00731249"/>
    <w:rsid w:val="007347B7"/>
    <w:rsid w:val="007473FE"/>
    <w:rsid w:val="007500F2"/>
    <w:rsid w:val="0075044E"/>
    <w:rsid w:val="00762578"/>
    <w:rsid w:val="007818C2"/>
    <w:rsid w:val="007855BE"/>
    <w:rsid w:val="00791474"/>
    <w:rsid w:val="007B30CC"/>
    <w:rsid w:val="007B63D3"/>
    <w:rsid w:val="007C5B7D"/>
    <w:rsid w:val="007D58FF"/>
    <w:rsid w:val="008063C7"/>
    <w:rsid w:val="0082128D"/>
    <w:rsid w:val="008260A3"/>
    <w:rsid w:val="00830305"/>
    <w:rsid w:val="00845853"/>
    <w:rsid w:val="00846EEB"/>
    <w:rsid w:val="0085196C"/>
    <w:rsid w:val="00865178"/>
    <w:rsid w:val="00872090"/>
    <w:rsid w:val="00875291"/>
    <w:rsid w:val="00877772"/>
    <w:rsid w:val="00890008"/>
    <w:rsid w:val="00893400"/>
    <w:rsid w:val="008B2176"/>
    <w:rsid w:val="008C2BFA"/>
    <w:rsid w:val="008D3CEA"/>
    <w:rsid w:val="008E5093"/>
    <w:rsid w:val="008E521A"/>
    <w:rsid w:val="008F0C87"/>
    <w:rsid w:val="008F13B9"/>
    <w:rsid w:val="008F56B8"/>
    <w:rsid w:val="009158B4"/>
    <w:rsid w:val="00924895"/>
    <w:rsid w:val="00936168"/>
    <w:rsid w:val="009414CB"/>
    <w:rsid w:val="00943991"/>
    <w:rsid w:val="00957066"/>
    <w:rsid w:val="009656CC"/>
    <w:rsid w:val="00975565"/>
    <w:rsid w:val="0098695A"/>
    <w:rsid w:val="009A519C"/>
    <w:rsid w:val="009C03E5"/>
    <w:rsid w:val="009C10A8"/>
    <w:rsid w:val="009C1FAC"/>
    <w:rsid w:val="009D0856"/>
    <w:rsid w:val="009D1040"/>
    <w:rsid w:val="009D6B22"/>
    <w:rsid w:val="009F005B"/>
    <w:rsid w:val="009F0DE4"/>
    <w:rsid w:val="00A00D1E"/>
    <w:rsid w:val="00A01BD3"/>
    <w:rsid w:val="00A32F33"/>
    <w:rsid w:val="00A37F61"/>
    <w:rsid w:val="00A46D66"/>
    <w:rsid w:val="00A477F6"/>
    <w:rsid w:val="00A50D3C"/>
    <w:rsid w:val="00A6187D"/>
    <w:rsid w:val="00A853E9"/>
    <w:rsid w:val="00A85668"/>
    <w:rsid w:val="00A9410E"/>
    <w:rsid w:val="00A94FFB"/>
    <w:rsid w:val="00A955C5"/>
    <w:rsid w:val="00A96758"/>
    <w:rsid w:val="00AA0CB4"/>
    <w:rsid w:val="00AC1771"/>
    <w:rsid w:val="00AE0884"/>
    <w:rsid w:val="00AE1339"/>
    <w:rsid w:val="00AE551A"/>
    <w:rsid w:val="00AE58E2"/>
    <w:rsid w:val="00AF6AE4"/>
    <w:rsid w:val="00B00B34"/>
    <w:rsid w:val="00B03D80"/>
    <w:rsid w:val="00B10629"/>
    <w:rsid w:val="00B2400F"/>
    <w:rsid w:val="00B375BA"/>
    <w:rsid w:val="00B719C4"/>
    <w:rsid w:val="00B76E6B"/>
    <w:rsid w:val="00B96B84"/>
    <w:rsid w:val="00BA1135"/>
    <w:rsid w:val="00BA2DDD"/>
    <w:rsid w:val="00BC5CA0"/>
    <w:rsid w:val="00BC780B"/>
    <w:rsid w:val="00BC7B4E"/>
    <w:rsid w:val="00BD271A"/>
    <w:rsid w:val="00BD3367"/>
    <w:rsid w:val="00BD3B8C"/>
    <w:rsid w:val="00BE2F55"/>
    <w:rsid w:val="00BE66ED"/>
    <w:rsid w:val="00BF3402"/>
    <w:rsid w:val="00C109D0"/>
    <w:rsid w:val="00C35F86"/>
    <w:rsid w:val="00C368C6"/>
    <w:rsid w:val="00C561E5"/>
    <w:rsid w:val="00C578C0"/>
    <w:rsid w:val="00C75014"/>
    <w:rsid w:val="00C7662C"/>
    <w:rsid w:val="00C837C7"/>
    <w:rsid w:val="00C926F4"/>
    <w:rsid w:val="00CA66E5"/>
    <w:rsid w:val="00CB3973"/>
    <w:rsid w:val="00CB737E"/>
    <w:rsid w:val="00CC385D"/>
    <w:rsid w:val="00CC6814"/>
    <w:rsid w:val="00CD1D7E"/>
    <w:rsid w:val="00CE6108"/>
    <w:rsid w:val="00D177DF"/>
    <w:rsid w:val="00D20744"/>
    <w:rsid w:val="00D25C3C"/>
    <w:rsid w:val="00D36912"/>
    <w:rsid w:val="00D41D21"/>
    <w:rsid w:val="00D47E2E"/>
    <w:rsid w:val="00D56D70"/>
    <w:rsid w:val="00D6162C"/>
    <w:rsid w:val="00D70A15"/>
    <w:rsid w:val="00D7523C"/>
    <w:rsid w:val="00D84117"/>
    <w:rsid w:val="00D85A2F"/>
    <w:rsid w:val="00D90D3C"/>
    <w:rsid w:val="00DB00C3"/>
    <w:rsid w:val="00DB017D"/>
    <w:rsid w:val="00DC36D9"/>
    <w:rsid w:val="00DE4085"/>
    <w:rsid w:val="00DF7290"/>
    <w:rsid w:val="00E02C7B"/>
    <w:rsid w:val="00E031B4"/>
    <w:rsid w:val="00E04143"/>
    <w:rsid w:val="00E05C4B"/>
    <w:rsid w:val="00E179B5"/>
    <w:rsid w:val="00E22A77"/>
    <w:rsid w:val="00E42BBD"/>
    <w:rsid w:val="00E43430"/>
    <w:rsid w:val="00E456FE"/>
    <w:rsid w:val="00E47004"/>
    <w:rsid w:val="00E51C0F"/>
    <w:rsid w:val="00E66797"/>
    <w:rsid w:val="00E7089F"/>
    <w:rsid w:val="00E73AC1"/>
    <w:rsid w:val="00E8247A"/>
    <w:rsid w:val="00E87DA8"/>
    <w:rsid w:val="00E94140"/>
    <w:rsid w:val="00E97E84"/>
    <w:rsid w:val="00EA7FE7"/>
    <w:rsid w:val="00EC49F0"/>
    <w:rsid w:val="00ED38CB"/>
    <w:rsid w:val="00EE2B21"/>
    <w:rsid w:val="00EF02F5"/>
    <w:rsid w:val="00EF0B3D"/>
    <w:rsid w:val="00EF6CC3"/>
    <w:rsid w:val="00F00723"/>
    <w:rsid w:val="00F00DEC"/>
    <w:rsid w:val="00F02969"/>
    <w:rsid w:val="00F1531A"/>
    <w:rsid w:val="00F65EB6"/>
    <w:rsid w:val="00F83EE5"/>
    <w:rsid w:val="00F90DD9"/>
    <w:rsid w:val="00F9518E"/>
    <w:rsid w:val="00FB1878"/>
    <w:rsid w:val="00FD2336"/>
    <w:rsid w:val="00FD7B35"/>
    <w:rsid w:val="00FE08DF"/>
    <w:rsid w:val="00FE7B94"/>
    <w:rsid w:val="00FF0ECB"/>
    <w:rsid w:val="00FF50D1"/>
    <w:rsid w:val="031019A8"/>
    <w:rsid w:val="7041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kern w:val="2"/>
      <w:sz w:val="21"/>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Asuntodelcomentario">
    <w:name w:val="annotation subject"/>
    <w:basedOn w:val="Textocomentario"/>
    <w:next w:val="Textocomentario"/>
    <w:link w:val="AsuntodelcomentarioCar"/>
    <w:uiPriority w:val="99"/>
    <w:unhideWhenUsed/>
    <w:rPr>
      <w:b/>
      <w:bCs/>
    </w:rPr>
  </w:style>
  <w:style w:type="paragraph" w:styleId="Textocomentario">
    <w:name w:val="annotation text"/>
    <w:basedOn w:val="Normal"/>
    <w:link w:val="TextocomentarioCar"/>
    <w:uiPriority w:val="99"/>
    <w:unhideWhenUsed/>
    <w:pPr>
      <w:jc w:val="left"/>
    </w:pPr>
  </w:style>
  <w:style w:type="paragraph" w:styleId="Textodeglobo">
    <w:name w:val="Balloon Text"/>
    <w:basedOn w:val="Normal"/>
    <w:link w:val="TextodegloboCar"/>
    <w:semiHidden/>
    <w:qFormat/>
    <w:rPr>
      <w:sz w:val="18"/>
      <w:szCs w:val="18"/>
    </w:rPr>
  </w:style>
  <w:style w:type="paragraph" w:styleId="Piedepgina">
    <w:name w:val="footer"/>
    <w:basedOn w:val="Normal"/>
    <w:link w:val="PiedepginaCar"/>
    <w:uiPriority w:val="99"/>
    <w:unhideWhenUsed/>
    <w:pPr>
      <w:tabs>
        <w:tab w:val="center" w:pos="4153"/>
        <w:tab w:val="right" w:pos="8306"/>
      </w:tabs>
      <w:snapToGrid w:val="0"/>
      <w:jc w:val="left"/>
    </w:pPr>
    <w:rPr>
      <w:sz w:val="18"/>
      <w:szCs w:val="18"/>
    </w:rPr>
  </w:style>
  <w:style w:type="paragraph" w:styleId="Encabezado">
    <w:name w:val="header"/>
    <w:basedOn w:val="Normal"/>
    <w:link w:val="EncabezadoCar"/>
    <w:uiPriority w:val="99"/>
    <w:unhideWhenUsed/>
    <w:pPr>
      <w:pBdr>
        <w:bottom w:val="single" w:sz="6" w:space="1" w:color="auto"/>
      </w:pBdr>
      <w:tabs>
        <w:tab w:val="center" w:pos="4153"/>
        <w:tab w:val="right" w:pos="8306"/>
      </w:tabs>
      <w:snapToGrid w:val="0"/>
      <w:jc w:val="center"/>
    </w:pPr>
    <w:rPr>
      <w:sz w:val="18"/>
      <w:szCs w:val="18"/>
    </w:rPr>
  </w:style>
  <w:style w:type="character" w:styleId="Hipervnculo">
    <w:name w:val="Hyperlink"/>
    <w:rPr>
      <w:color w:val="0000FF"/>
      <w:u w:val="single"/>
    </w:rPr>
  </w:style>
  <w:style w:type="character" w:styleId="Refdecomentario">
    <w:name w:val="annotation reference"/>
    <w:uiPriority w:val="99"/>
    <w:unhideWhenUsed/>
    <w:rPr>
      <w:sz w:val="21"/>
      <w:szCs w:val="21"/>
    </w:rPr>
  </w:style>
  <w:style w:type="character" w:customStyle="1" w:styleId="TextodegloboCar">
    <w:name w:val="Texto de globo Car"/>
    <w:link w:val="Textodeglobo"/>
    <w:semiHidden/>
    <w:rPr>
      <w:rFonts w:ascii="Times New Roman" w:eastAsia="SimSun" w:hAnsi="Times New Roman" w:cs="Times New Roman"/>
      <w:sz w:val="18"/>
      <w:szCs w:val="18"/>
    </w:rPr>
  </w:style>
  <w:style w:type="character" w:customStyle="1" w:styleId="apple-style-span">
    <w:name w:val="apple-style-span"/>
    <w:basedOn w:val="Fuentedeprrafopredeter"/>
  </w:style>
  <w:style w:type="character" w:customStyle="1" w:styleId="apple-converted-space">
    <w:name w:val="apple-converted-space"/>
    <w:basedOn w:val="Fuentedeprrafopredeter"/>
  </w:style>
  <w:style w:type="paragraph" w:customStyle="1" w:styleId="Style7">
    <w:name w:val="_Style 7"/>
    <w:basedOn w:val="Normal"/>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
    <w:name w:val="Char"/>
    <w:basedOn w:val="Normal"/>
    <w:next w:val="Normal"/>
    <w:pPr>
      <w:pageBreakBefore/>
      <w:numPr>
        <w:numId w:val="1"/>
      </w:numPr>
      <w:spacing w:line="400" w:lineRule="exact"/>
    </w:pPr>
    <w:rPr>
      <w:rFonts w:eastAsia="SimHei"/>
      <w:sz w:val="32"/>
      <w:szCs w:val="32"/>
    </w:rPr>
  </w:style>
  <w:style w:type="paragraph" w:customStyle="1" w:styleId="p0">
    <w:name w:val="p0"/>
    <w:basedOn w:val="Normal"/>
    <w:pPr>
      <w:widowControl/>
    </w:pPr>
    <w:rPr>
      <w:kern w:val="0"/>
      <w:szCs w:val="21"/>
    </w:rPr>
  </w:style>
  <w:style w:type="character" w:customStyle="1" w:styleId="EncabezadoCar">
    <w:name w:val="Encabezado Car"/>
    <w:link w:val="Encabezado"/>
    <w:uiPriority w:val="99"/>
    <w:rPr>
      <w:rFonts w:ascii="Times New Roman" w:hAnsi="Times New Roman"/>
      <w:kern w:val="2"/>
      <w:sz w:val="18"/>
      <w:szCs w:val="18"/>
    </w:rPr>
  </w:style>
  <w:style w:type="character" w:customStyle="1" w:styleId="PiedepginaCar">
    <w:name w:val="Pie de página Car"/>
    <w:link w:val="Piedepgina"/>
    <w:uiPriority w:val="99"/>
    <w:rPr>
      <w:rFonts w:ascii="Times New Roman" w:hAnsi="Times New Roman"/>
      <w:kern w:val="2"/>
      <w:sz w:val="18"/>
      <w:szCs w:val="18"/>
    </w:rPr>
  </w:style>
  <w:style w:type="paragraph" w:customStyle="1" w:styleId="Char1">
    <w:name w:val="Char1"/>
    <w:basedOn w:val="Normal"/>
    <w:pPr>
      <w:widowControl/>
      <w:spacing w:after="160" w:line="240" w:lineRule="exact"/>
      <w:jc w:val="left"/>
    </w:pPr>
    <w:rPr>
      <w:rFonts w:ascii="Arial" w:eastAsia="Times New Roman" w:hAnsi="Arial" w:cs="Verdana"/>
      <w:b/>
      <w:kern w:val="0"/>
      <w:sz w:val="24"/>
      <w:szCs w:val="20"/>
      <w:lang w:eastAsia="en-US"/>
    </w:rPr>
  </w:style>
  <w:style w:type="paragraph" w:customStyle="1" w:styleId="tgt1">
    <w:name w:val="tgt1"/>
    <w:basedOn w:val="Normal"/>
    <w:pPr>
      <w:widowControl/>
      <w:spacing w:after="150"/>
      <w:jc w:val="left"/>
    </w:pPr>
    <w:rPr>
      <w:rFonts w:ascii="SimSun" w:hAnsi="SimSun" w:cs="SimSun"/>
      <w:kern w:val="0"/>
      <w:sz w:val="24"/>
    </w:rPr>
  </w:style>
  <w:style w:type="character" w:customStyle="1" w:styleId="TextocomentarioCar">
    <w:name w:val="Texto comentario Car"/>
    <w:link w:val="Textocomentario"/>
    <w:uiPriority w:val="99"/>
    <w:semiHidden/>
    <w:rPr>
      <w:rFonts w:ascii="Times New Roman" w:hAnsi="Times New Roman"/>
      <w:kern w:val="2"/>
      <w:sz w:val="21"/>
      <w:szCs w:val="24"/>
    </w:rPr>
  </w:style>
  <w:style w:type="character" w:customStyle="1" w:styleId="AsuntodelcomentarioCar">
    <w:name w:val="Asunto del comentario Car"/>
    <w:link w:val="Asuntodelcomentario"/>
    <w:uiPriority w:val="99"/>
    <w:semiHidden/>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kern w:val="2"/>
      <w:sz w:val="21"/>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Asuntodelcomentario">
    <w:name w:val="annotation subject"/>
    <w:basedOn w:val="Textocomentario"/>
    <w:next w:val="Textocomentario"/>
    <w:link w:val="AsuntodelcomentarioCar"/>
    <w:uiPriority w:val="99"/>
    <w:unhideWhenUsed/>
    <w:rPr>
      <w:b/>
      <w:bCs/>
    </w:rPr>
  </w:style>
  <w:style w:type="paragraph" w:styleId="Textocomentario">
    <w:name w:val="annotation text"/>
    <w:basedOn w:val="Normal"/>
    <w:link w:val="TextocomentarioCar"/>
    <w:uiPriority w:val="99"/>
    <w:unhideWhenUsed/>
    <w:pPr>
      <w:jc w:val="left"/>
    </w:pPr>
  </w:style>
  <w:style w:type="paragraph" w:styleId="Textodeglobo">
    <w:name w:val="Balloon Text"/>
    <w:basedOn w:val="Normal"/>
    <w:link w:val="TextodegloboCar"/>
    <w:semiHidden/>
    <w:qFormat/>
    <w:rPr>
      <w:sz w:val="18"/>
      <w:szCs w:val="18"/>
    </w:rPr>
  </w:style>
  <w:style w:type="paragraph" w:styleId="Piedepgina">
    <w:name w:val="footer"/>
    <w:basedOn w:val="Normal"/>
    <w:link w:val="PiedepginaCar"/>
    <w:uiPriority w:val="99"/>
    <w:unhideWhenUsed/>
    <w:pPr>
      <w:tabs>
        <w:tab w:val="center" w:pos="4153"/>
        <w:tab w:val="right" w:pos="8306"/>
      </w:tabs>
      <w:snapToGrid w:val="0"/>
      <w:jc w:val="left"/>
    </w:pPr>
    <w:rPr>
      <w:sz w:val="18"/>
      <w:szCs w:val="18"/>
    </w:rPr>
  </w:style>
  <w:style w:type="paragraph" w:styleId="Encabezado">
    <w:name w:val="header"/>
    <w:basedOn w:val="Normal"/>
    <w:link w:val="EncabezadoCar"/>
    <w:uiPriority w:val="99"/>
    <w:unhideWhenUsed/>
    <w:pPr>
      <w:pBdr>
        <w:bottom w:val="single" w:sz="6" w:space="1" w:color="auto"/>
      </w:pBdr>
      <w:tabs>
        <w:tab w:val="center" w:pos="4153"/>
        <w:tab w:val="right" w:pos="8306"/>
      </w:tabs>
      <w:snapToGrid w:val="0"/>
      <w:jc w:val="center"/>
    </w:pPr>
    <w:rPr>
      <w:sz w:val="18"/>
      <w:szCs w:val="18"/>
    </w:rPr>
  </w:style>
  <w:style w:type="character" w:styleId="Hipervnculo">
    <w:name w:val="Hyperlink"/>
    <w:rPr>
      <w:color w:val="0000FF"/>
      <w:u w:val="single"/>
    </w:rPr>
  </w:style>
  <w:style w:type="character" w:styleId="Refdecomentario">
    <w:name w:val="annotation reference"/>
    <w:uiPriority w:val="99"/>
    <w:unhideWhenUsed/>
    <w:rPr>
      <w:sz w:val="21"/>
      <w:szCs w:val="21"/>
    </w:rPr>
  </w:style>
  <w:style w:type="character" w:customStyle="1" w:styleId="TextodegloboCar">
    <w:name w:val="Texto de globo Car"/>
    <w:link w:val="Textodeglobo"/>
    <w:semiHidden/>
    <w:rPr>
      <w:rFonts w:ascii="Times New Roman" w:eastAsia="SimSun" w:hAnsi="Times New Roman" w:cs="Times New Roman"/>
      <w:sz w:val="18"/>
      <w:szCs w:val="18"/>
    </w:rPr>
  </w:style>
  <w:style w:type="character" w:customStyle="1" w:styleId="apple-style-span">
    <w:name w:val="apple-style-span"/>
    <w:basedOn w:val="Fuentedeprrafopredeter"/>
  </w:style>
  <w:style w:type="character" w:customStyle="1" w:styleId="apple-converted-space">
    <w:name w:val="apple-converted-space"/>
    <w:basedOn w:val="Fuentedeprrafopredeter"/>
  </w:style>
  <w:style w:type="paragraph" w:customStyle="1" w:styleId="Style7">
    <w:name w:val="_Style 7"/>
    <w:basedOn w:val="Normal"/>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
    <w:name w:val="Char"/>
    <w:basedOn w:val="Normal"/>
    <w:next w:val="Normal"/>
    <w:pPr>
      <w:pageBreakBefore/>
      <w:numPr>
        <w:numId w:val="1"/>
      </w:numPr>
      <w:spacing w:line="400" w:lineRule="exact"/>
    </w:pPr>
    <w:rPr>
      <w:rFonts w:eastAsia="SimHei"/>
      <w:sz w:val="32"/>
      <w:szCs w:val="32"/>
    </w:rPr>
  </w:style>
  <w:style w:type="paragraph" w:customStyle="1" w:styleId="p0">
    <w:name w:val="p0"/>
    <w:basedOn w:val="Normal"/>
    <w:pPr>
      <w:widowControl/>
    </w:pPr>
    <w:rPr>
      <w:kern w:val="0"/>
      <w:szCs w:val="21"/>
    </w:rPr>
  </w:style>
  <w:style w:type="character" w:customStyle="1" w:styleId="EncabezadoCar">
    <w:name w:val="Encabezado Car"/>
    <w:link w:val="Encabezado"/>
    <w:uiPriority w:val="99"/>
    <w:rPr>
      <w:rFonts w:ascii="Times New Roman" w:hAnsi="Times New Roman"/>
      <w:kern w:val="2"/>
      <w:sz w:val="18"/>
      <w:szCs w:val="18"/>
    </w:rPr>
  </w:style>
  <w:style w:type="character" w:customStyle="1" w:styleId="PiedepginaCar">
    <w:name w:val="Pie de página Car"/>
    <w:link w:val="Piedepgina"/>
    <w:uiPriority w:val="99"/>
    <w:rPr>
      <w:rFonts w:ascii="Times New Roman" w:hAnsi="Times New Roman"/>
      <w:kern w:val="2"/>
      <w:sz w:val="18"/>
      <w:szCs w:val="18"/>
    </w:rPr>
  </w:style>
  <w:style w:type="paragraph" w:customStyle="1" w:styleId="Char1">
    <w:name w:val="Char1"/>
    <w:basedOn w:val="Normal"/>
    <w:pPr>
      <w:widowControl/>
      <w:spacing w:after="160" w:line="240" w:lineRule="exact"/>
      <w:jc w:val="left"/>
    </w:pPr>
    <w:rPr>
      <w:rFonts w:ascii="Arial" w:eastAsia="Times New Roman" w:hAnsi="Arial" w:cs="Verdana"/>
      <w:b/>
      <w:kern w:val="0"/>
      <w:sz w:val="24"/>
      <w:szCs w:val="20"/>
      <w:lang w:eastAsia="en-US"/>
    </w:rPr>
  </w:style>
  <w:style w:type="paragraph" w:customStyle="1" w:styleId="tgt1">
    <w:name w:val="tgt1"/>
    <w:basedOn w:val="Normal"/>
    <w:pPr>
      <w:widowControl/>
      <w:spacing w:after="150"/>
      <w:jc w:val="left"/>
    </w:pPr>
    <w:rPr>
      <w:rFonts w:ascii="SimSun" w:hAnsi="SimSun" w:cs="SimSun"/>
      <w:kern w:val="0"/>
      <w:sz w:val="24"/>
    </w:rPr>
  </w:style>
  <w:style w:type="character" w:customStyle="1" w:styleId="TextocomentarioCar">
    <w:name w:val="Texto comentario Car"/>
    <w:link w:val="Textocomentario"/>
    <w:uiPriority w:val="99"/>
    <w:semiHidden/>
    <w:rPr>
      <w:rFonts w:ascii="Times New Roman" w:hAnsi="Times New Roman"/>
      <w:kern w:val="2"/>
      <w:sz w:val="21"/>
      <w:szCs w:val="24"/>
    </w:rPr>
  </w:style>
  <w:style w:type="character" w:customStyle="1" w:styleId="AsuntodelcomentarioCar">
    <w:name w:val="Asunto del comentario Car"/>
    <w:link w:val="Asuntodelcomentario"/>
    <w:uiPriority w:val="99"/>
    <w:semiHidden/>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附件:</vt:lpstr>
    </vt:vector>
  </TitlesOfParts>
  <Company>Hewlett-Packard Company</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S Daniel</dc:creator>
  <cp:lastModifiedBy>Monica Ramirez Molina</cp:lastModifiedBy>
  <cp:revision>2</cp:revision>
  <cp:lastPrinted>2017-03-14T06:38:00Z</cp:lastPrinted>
  <dcterms:created xsi:type="dcterms:W3CDTF">2017-04-17T18:30:00Z</dcterms:created>
  <dcterms:modified xsi:type="dcterms:W3CDTF">2017-04-17T18:30:00Z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