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21" w:rsidRDefault="004077BF" w:rsidP="004077BF">
      <w:pPr>
        <w:spacing w:afterLines="50" w:after="156" w:line="360" w:lineRule="auto"/>
        <w:jc w:val="center"/>
        <w:rPr>
          <w:rFonts w:eastAsia="SimHei"/>
          <w:b/>
          <w:sz w:val="28"/>
          <w:szCs w:val="28"/>
        </w:rPr>
      </w:pPr>
      <w:bookmarkStart w:id="0" w:name="_GoBack"/>
      <w:bookmarkEnd w:id="0"/>
      <w:r>
        <w:rPr>
          <w:rFonts w:eastAsia="SimHei" w:hint="eastAsia"/>
          <w:b/>
          <w:sz w:val="28"/>
          <w:szCs w:val="28"/>
        </w:rPr>
        <w:t>Project Description</w:t>
      </w:r>
    </w:p>
    <w:tbl>
      <w:tblPr>
        <w:tblW w:w="96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4"/>
        <w:gridCol w:w="1613"/>
        <w:gridCol w:w="298"/>
        <w:gridCol w:w="406"/>
        <w:gridCol w:w="1267"/>
        <w:gridCol w:w="672"/>
        <w:gridCol w:w="604"/>
        <w:gridCol w:w="2661"/>
      </w:tblGrid>
      <w:tr w:rsidR="00066E21">
        <w:trPr>
          <w:jc w:val="center"/>
        </w:trPr>
        <w:tc>
          <w:tcPr>
            <w:tcW w:w="2114" w:type="dxa"/>
            <w:tcBorders>
              <w:top w:val="single" w:sz="8" w:space="0" w:color="auto"/>
              <w:left w:val="single" w:sz="8" w:space="0" w:color="auto"/>
              <w:bottom w:val="single" w:sz="6" w:space="0" w:color="auto"/>
              <w:right w:val="single" w:sz="6" w:space="0" w:color="auto"/>
            </w:tcBorders>
            <w:vAlign w:val="center"/>
          </w:tcPr>
          <w:p w:rsidR="00066E21" w:rsidRDefault="004077BF">
            <w:pPr>
              <w:spacing w:line="360" w:lineRule="auto"/>
              <w:jc w:val="center"/>
              <w:rPr>
                <w:color w:val="000000"/>
              </w:rPr>
            </w:pPr>
            <w:r>
              <w:rPr>
                <w:rFonts w:hint="eastAsia"/>
                <w:color w:val="000000"/>
              </w:rPr>
              <w:t xml:space="preserve">Name </w:t>
            </w:r>
          </w:p>
        </w:tc>
        <w:tc>
          <w:tcPr>
            <w:tcW w:w="7521" w:type="dxa"/>
            <w:gridSpan w:val="7"/>
            <w:tcBorders>
              <w:top w:val="single" w:sz="8" w:space="0" w:color="auto"/>
              <w:left w:val="single" w:sz="6" w:space="0" w:color="auto"/>
              <w:bottom w:val="single" w:sz="6" w:space="0" w:color="auto"/>
              <w:right w:val="single" w:sz="8" w:space="0" w:color="auto"/>
            </w:tcBorders>
            <w:vAlign w:val="center"/>
          </w:tcPr>
          <w:p w:rsidR="00066E21" w:rsidRDefault="004077BF">
            <w:pPr>
              <w:spacing w:line="300" w:lineRule="exact"/>
              <w:jc w:val="center"/>
              <w:rPr>
                <w:bCs/>
                <w:kern w:val="0"/>
                <w:szCs w:val="21"/>
              </w:rPr>
            </w:pPr>
            <w:r>
              <w:rPr>
                <w:bCs/>
                <w:kern w:val="0"/>
                <w:szCs w:val="21"/>
              </w:rPr>
              <w:t>2017 Seminar on Import-Export Food Inspection and Food Safety for Developing Countries</w:t>
            </w:r>
          </w:p>
        </w:tc>
      </w:tr>
      <w:tr w:rsidR="00066E21">
        <w:trPr>
          <w:jc w:val="center"/>
        </w:trPr>
        <w:tc>
          <w:tcPr>
            <w:tcW w:w="2114" w:type="dxa"/>
            <w:tcBorders>
              <w:top w:val="single" w:sz="6" w:space="0" w:color="auto"/>
              <w:left w:val="single" w:sz="8" w:space="0" w:color="auto"/>
              <w:bottom w:val="single" w:sz="6" w:space="0" w:color="auto"/>
              <w:right w:val="single" w:sz="6" w:space="0" w:color="auto"/>
            </w:tcBorders>
            <w:vAlign w:val="center"/>
          </w:tcPr>
          <w:p w:rsidR="00066E21" w:rsidRDefault="004077BF">
            <w:pPr>
              <w:spacing w:line="360" w:lineRule="auto"/>
              <w:jc w:val="center"/>
              <w:rPr>
                <w:color w:val="000000"/>
              </w:rPr>
            </w:pPr>
            <w:r>
              <w:rPr>
                <w:rFonts w:hint="eastAsia"/>
                <w:color w:val="000000"/>
              </w:rPr>
              <w:t xml:space="preserve">Organizer </w:t>
            </w:r>
          </w:p>
        </w:tc>
        <w:tc>
          <w:tcPr>
            <w:tcW w:w="7521" w:type="dxa"/>
            <w:gridSpan w:val="7"/>
            <w:tcBorders>
              <w:top w:val="single" w:sz="6" w:space="0" w:color="auto"/>
              <w:left w:val="single" w:sz="6" w:space="0" w:color="auto"/>
              <w:bottom w:val="single" w:sz="6" w:space="0" w:color="auto"/>
              <w:right w:val="single" w:sz="8" w:space="0" w:color="auto"/>
            </w:tcBorders>
            <w:vAlign w:val="center"/>
          </w:tcPr>
          <w:p w:rsidR="00066E21" w:rsidRDefault="004077BF">
            <w:pPr>
              <w:spacing w:line="360" w:lineRule="auto"/>
              <w:jc w:val="center"/>
              <w:rPr>
                <w:bCs/>
                <w:color w:val="000000"/>
              </w:rPr>
            </w:pPr>
            <w:r>
              <w:rPr>
                <w:bCs/>
                <w:color w:val="000000"/>
              </w:rPr>
              <w:t>China National Research Institute of Food and Fermentation Industries</w:t>
            </w:r>
          </w:p>
        </w:tc>
      </w:tr>
      <w:tr w:rsidR="00066E21">
        <w:trPr>
          <w:jc w:val="center"/>
        </w:trPr>
        <w:tc>
          <w:tcPr>
            <w:tcW w:w="2114" w:type="dxa"/>
            <w:tcBorders>
              <w:top w:val="single" w:sz="6" w:space="0" w:color="auto"/>
              <w:left w:val="single" w:sz="8" w:space="0" w:color="auto"/>
              <w:bottom w:val="single" w:sz="6" w:space="0" w:color="auto"/>
              <w:right w:val="single" w:sz="6" w:space="0" w:color="auto"/>
            </w:tcBorders>
            <w:vAlign w:val="center"/>
          </w:tcPr>
          <w:p w:rsidR="00066E21" w:rsidRDefault="004077BF">
            <w:pPr>
              <w:spacing w:line="360" w:lineRule="auto"/>
              <w:jc w:val="center"/>
            </w:pPr>
            <w:r>
              <w:rPr>
                <w:rFonts w:hint="eastAsia"/>
              </w:rPr>
              <w:t>Time</w:t>
            </w:r>
          </w:p>
        </w:tc>
        <w:tc>
          <w:tcPr>
            <w:tcW w:w="3584" w:type="dxa"/>
            <w:gridSpan w:val="4"/>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left"/>
            </w:pPr>
            <w:r>
              <w:rPr>
                <w:rFonts w:hint="eastAsia"/>
              </w:rPr>
              <w:t>June 6</w:t>
            </w:r>
            <w:r>
              <w:rPr>
                <w:rFonts w:hint="eastAsia"/>
                <w:vertAlign w:val="superscript"/>
              </w:rPr>
              <w:t>th</w:t>
            </w:r>
            <w:r>
              <w:rPr>
                <w:rFonts w:hint="eastAsia"/>
              </w:rPr>
              <w:t>, 2017 to June 26</w:t>
            </w:r>
            <w:r>
              <w:rPr>
                <w:rFonts w:hint="eastAsia"/>
                <w:vertAlign w:val="superscript"/>
              </w:rPr>
              <w:t>th</w:t>
            </w:r>
            <w:r>
              <w:rPr>
                <w:rFonts w:hint="eastAsia"/>
              </w:rPr>
              <w:t>, 2017</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rPr>
                <w:bCs/>
                <w:color w:val="000000"/>
              </w:rPr>
            </w:pPr>
            <w:r>
              <w:rPr>
                <w:rFonts w:hint="eastAsia"/>
                <w:bCs/>
                <w:color w:val="000000"/>
              </w:rPr>
              <w:t>Language</w:t>
            </w:r>
          </w:p>
        </w:tc>
        <w:tc>
          <w:tcPr>
            <w:tcW w:w="2661" w:type="dxa"/>
            <w:tcBorders>
              <w:top w:val="single" w:sz="6" w:space="0" w:color="auto"/>
              <w:left w:val="single" w:sz="6" w:space="0" w:color="auto"/>
              <w:bottom w:val="single" w:sz="6" w:space="0" w:color="auto"/>
              <w:right w:val="single" w:sz="8" w:space="0" w:color="auto"/>
            </w:tcBorders>
            <w:vAlign w:val="center"/>
          </w:tcPr>
          <w:p w:rsidR="00066E21" w:rsidRDefault="004077BF">
            <w:pPr>
              <w:spacing w:line="360" w:lineRule="auto"/>
              <w:jc w:val="center"/>
              <w:rPr>
                <w:bCs/>
                <w:color w:val="000000"/>
              </w:rPr>
            </w:pPr>
            <w:r>
              <w:rPr>
                <w:rFonts w:hint="eastAsia"/>
                <w:bCs/>
                <w:color w:val="000000"/>
              </w:rPr>
              <w:t>English</w:t>
            </w:r>
          </w:p>
        </w:tc>
      </w:tr>
      <w:tr w:rsidR="00066E21">
        <w:trPr>
          <w:trHeight w:val="711"/>
          <w:jc w:val="center"/>
        </w:trPr>
        <w:tc>
          <w:tcPr>
            <w:tcW w:w="2114" w:type="dxa"/>
            <w:tcBorders>
              <w:top w:val="single" w:sz="6" w:space="0" w:color="auto"/>
              <w:left w:val="single" w:sz="8" w:space="0" w:color="auto"/>
              <w:bottom w:val="single" w:sz="6" w:space="0" w:color="auto"/>
              <w:right w:val="single" w:sz="6" w:space="0" w:color="auto"/>
            </w:tcBorders>
            <w:vAlign w:val="center"/>
          </w:tcPr>
          <w:p w:rsidR="00066E21" w:rsidRDefault="004077BF">
            <w:pPr>
              <w:spacing w:line="360" w:lineRule="exact"/>
              <w:jc w:val="left"/>
              <w:rPr>
                <w:szCs w:val="21"/>
              </w:rPr>
            </w:pPr>
            <w:r>
              <w:rPr>
                <w:rFonts w:hint="eastAsia"/>
              </w:rPr>
              <w:t>Invited Countries</w:t>
            </w:r>
          </w:p>
        </w:tc>
        <w:tc>
          <w:tcPr>
            <w:tcW w:w="7521" w:type="dxa"/>
            <w:gridSpan w:val="7"/>
            <w:tcBorders>
              <w:top w:val="single" w:sz="6" w:space="0" w:color="auto"/>
              <w:left w:val="single" w:sz="6" w:space="0" w:color="auto"/>
              <w:bottom w:val="single" w:sz="6" w:space="0" w:color="auto"/>
              <w:right w:val="single" w:sz="8" w:space="0" w:color="auto"/>
            </w:tcBorders>
            <w:vAlign w:val="center"/>
          </w:tcPr>
          <w:p w:rsidR="00066E21" w:rsidRDefault="004077BF">
            <w:pPr>
              <w:spacing w:line="300" w:lineRule="exact"/>
              <w:rPr>
                <w:szCs w:val="21"/>
              </w:rPr>
            </w:pPr>
            <w:r>
              <w:t>Government officials and administrative personnel of food import-export supervision agencies, agricultural and food industries from developing countries.</w:t>
            </w:r>
          </w:p>
        </w:tc>
      </w:tr>
      <w:tr w:rsidR="00066E21">
        <w:trPr>
          <w:trHeight w:val="719"/>
          <w:jc w:val="center"/>
        </w:trPr>
        <w:tc>
          <w:tcPr>
            <w:tcW w:w="2114" w:type="dxa"/>
            <w:tcBorders>
              <w:top w:val="single" w:sz="6" w:space="0" w:color="auto"/>
              <w:left w:val="single" w:sz="8" w:space="0" w:color="auto"/>
              <w:bottom w:val="single" w:sz="6" w:space="0" w:color="auto"/>
              <w:right w:val="single" w:sz="6" w:space="0" w:color="auto"/>
            </w:tcBorders>
            <w:vAlign w:val="center"/>
          </w:tcPr>
          <w:p w:rsidR="00066E21" w:rsidRDefault="004077BF">
            <w:pPr>
              <w:spacing w:line="300" w:lineRule="exact"/>
              <w:jc w:val="center"/>
              <w:rPr>
                <w:color w:val="000000"/>
              </w:rPr>
            </w:pPr>
            <w:r>
              <w:rPr>
                <w:rFonts w:hint="eastAsia"/>
                <w:color w:val="000000"/>
              </w:rPr>
              <w:t>Number of Participants</w:t>
            </w:r>
          </w:p>
        </w:tc>
        <w:tc>
          <w:tcPr>
            <w:tcW w:w="7521" w:type="dxa"/>
            <w:gridSpan w:val="7"/>
            <w:tcBorders>
              <w:top w:val="single" w:sz="6" w:space="0" w:color="auto"/>
              <w:left w:val="single" w:sz="6" w:space="0" w:color="auto"/>
              <w:bottom w:val="single" w:sz="6" w:space="0" w:color="auto"/>
              <w:right w:val="single" w:sz="8" w:space="0" w:color="auto"/>
            </w:tcBorders>
            <w:vAlign w:val="center"/>
          </w:tcPr>
          <w:p w:rsidR="00066E21" w:rsidRDefault="004077BF">
            <w:pPr>
              <w:spacing w:line="360" w:lineRule="auto"/>
              <w:jc w:val="center"/>
              <w:rPr>
                <w:color w:val="000000"/>
              </w:rPr>
            </w:pPr>
            <w:r>
              <w:rPr>
                <w:rFonts w:hint="eastAsia"/>
                <w:color w:val="000000"/>
              </w:rPr>
              <w:t>25 persons</w:t>
            </w:r>
          </w:p>
        </w:tc>
      </w:tr>
      <w:tr w:rsidR="00066E21">
        <w:trPr>
          <w:jc w:val="center"/>
        </w:trPr>
        <w:tc>
          <w:tcPr>
            <w:tcW w:w="2114" w:type="dxa"/>
            <w:vMerge w:val="restart"/>
            <w:tcBorders>
              <w:top w:val="single" w:sz="6" w:space="0" w:color="auto"/>
              <w:left w:val="single" w:sz="8" w:space="0" w:color="auto"/>
              <w:bottom w:val="single" w:sz="6" w:space="0" w:color="auto"/>
              <w:right w:val="single" w:sz="6" w:space="0" w:color="auto"/>
            </w:tcBorders>
            <w:vAlign w:val="center"/>
          </w:tcPr>
          <w:p w:rsidR="00066E21" w:rsidRDefault="004077BF">
            <w:pPr>
              <w:spacing w:line="360" w:lineRule="auto"/>
              <w:jc w:val="center"/>
              <w:rPr>
                <w:color w:val="000000"/>
              </w:rPr>
            </w:pPr>
            <w:r>
              <w:rPr>
                <w:rFonts w:hint="eastAsia"/>
                <w:color w:val="000000"/>
              </w:rPr>
              <w:t>Requirements for the Participants</w:t>
            </w:r>
          </w:p>
        </w:tc>
        <w:tc>
          <w:tcPr>
            <w:tcW w:w="1613" w:type="dxa"/>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rPr>
                <w:color w:val="000000"/>
              </w:rPr>
            </w:pPr>
            <w:r>
              <w:rPr>
                <w:rFonts w:hint="eastAsia"/>
                <w:color w:val="000000"/>
              </w:rPr>
              <w:t>Age</w:t>
            </w:r>
          </w:p>
        </w:tc>
        <w:tc>
          <w:tcPr>
            <w:tcW w:w="5908" w:type="dxa"/>
            <w:gridSpan w:val="6"/>
            <w:tcBorders>
              <w:top w:val="single" w:sz="6" w:space="0" w:color="auto"/>
              <w:left w:val="single" w:sz="6" w:space="0" w:color="auto"/>
              <w:bottom w:val="single" w:sz="6" w:space="0" w:color="auto"/>
              <w:right w:val="single" w:sz="8" w:space="0" w:color="auto"/>
            </w:tcBorders>
            <w:vAlign w:val="center"/>
          </w:tcPr>
          <w:p w:rsidR="00066E21" w:rsidRDefault="004077BF">
            <w:pPr>
              <w:spacing w:line="300" w:lineRule="exact"/>
              <w:jc w:val="center"/>
              <w:rPr>
                <w:szCs w:val="21"/>
              </w:rPr>
            </w:pPr>
            <w:r>
              <w:rPr>
                <w:szCs w:val="21"/>
              </w:rPr>
              <w:t xml:space="preserve">Under 45 </w:t>
            </w:r>
            <w:r>
              <w:rPr>
                <w:szCs w:val="21"/>
              </w:rPr>
              <w:t xml:space="preserve">for officials at or under director’s level; </w:t>
            </w:r>
            <w:proofErr w:type="gramStart"/>
            <w:r>
              <w:rPr>
                <w:szCs w:val="21"/>
              </w:rPr>
              <w:t>under</w:t>
            </w:r>
            <w:proofErr w:type="gramEnd"/>
            <w:r>
              <w:rPr>
                <w:szCs w:val="21"/>
              </w:rPr>
              <w:t xml:space="preserve"> 50 for officials at director general’s level.</w:t>
            </w:r>
          </w:p>
        </w:tc>
      </w:tr>
      <w:tr w:rsidR="00066E21">
        <w:trPr>
          <w:trHeight w:val="2988"/>
          <w:jc w:val="center"/>
        </w:trPr>
        <w:tc>
          <w:tcPr>
            <w:tcW w:w="2114" w:type="dxa"/>
            <w:vMerge/>
            <w:tcBorders>
              <w:top w:val="single" w:sz="6" w:space="0" w:color="auto"/>
              <w:left w:val="single" w:sz="8" w:space="0" w:color="auto"/>
              <w:bottom w:val="single" w:sz="6" w:space="0" w:color="auto"/>
              <w:right w:val="single" w:sz="6" w:space="0" w:color="auto"/>
            </w:tcBorders>
            <w:vAlign w:val="center"/>
          </w:tcPr>
          <w:p w:rsidR="00066E21" w:rsidRDefault="00066E21">
            <w:pPr>
              <w:spacing w:line="360" w:lineRule="auto"/>
              <w:jc w:val="center"/>
              <w:rPr>
                <w:color w:val="000000"/>
              </w:rPr>
            </w:pPr>
          </w:p>
        </w:tc>
        <w:tc>
          <w:tcPr>
            <w:tcW w:w="1613" w:type="dxa"/>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rPr>
                <w:color w:val="000000"/>
              </w:rPr>
            </w:pPr>
            <w:r>
              <w:rPr>
                <w:color w:val="000000"/>
              </w:rPr>
              <w:t>H</w:t>
            </w:r>
            <w:r>
              <w:rPr>
                <w:rFonts w:hint="eastAsia"/>
                <w:color w:val="000000"/>
              </w:rPr>
              <w:t>ealth</w:t>
            </w:r>
          </w:p>
        </w:tc>
        <w:tc>
          <w:tcPr>
            <w:tcW w:w="5908" w:type="dxa"/>
            <w:gridSpan w:val="6"/>
            <w:tcBorders>
              <w:top w:val="single" w:sz="6" w:space="0" w:color="auto"/>
              <w:left w:val="single" w:sz="6" w:space="0" w:color="auto"/>
              <w:bottom w:val="single" w:sz="6" w:space="0" w:color="auto"/>
              <w:right w:val="single" w:sz="8" w:space="0" w:color="auto"/>
            </w:tcBorders>
            <w:vAlign w:val="center"/>
          </w:tcPr>
          <w:p w:rsidR="00066E21" w:rsidRDefault="004077BF">
            <w:pPr>
              <w:spacing w:line="360" w:lineRule="exact"/>
              <w:rPr>
                <w:color w:val="000000"/>
              </w:rPr>
            </w:pPr>
            <w:r>
              <w:rPr>
                <w:szCs w:val="21"/>
              </w:rPr>
              <w:t>In good health</w:t>
            </w:r>
            <w:r>
              <w:rPr>
                <w:rFonts w:hint="eastAsia"/>
                <w:szCs w:val="21"/>
              </w:rPr>
              <w:t xml:space="preserve"> with health certificate issued by the local public hospitals; without diseases with which entry to C</w:t>
            </w:r>
            <w:r>
              <w:rPr>
                <w:szCs w:val="21"/>
              </w:rPr>
              <w:t>h</w:t>
            </w:r>
            <w:r>
              <w:rPr>
                <w:rFonts w:hint="eastAsia"/>
                <w:szCs w:val="21"/>
              </w:rPr>
              <w:t>ina is disallowed by China</w:t>
            </w:r>
            <w:r>
              <w:rPr>
                <w:szCs w:val="21"/>
              </w:rPr>
              <w:t>’</w:t>
            </w:r>
            <w:r>
              <w:rPr>
                <w:rFonts w:hint="eastAsia"/>
                <w:szCs w:val="21"/>
              </w:rPr>
              <w:t xml:space="preserve">s laws </w:t>
            </w:r>
            <w:r>
              <w:rPr>
                <w:rFonts w:hint="eastAsia"/>
                <w:szCs w:val="21"/>
              </w:rPr>
              <w:t>and regulations;</w:t>
            </w:r>
            <w:r>
              <w:rPr>
                <w:szCs w:val="21"/>
              </w:rPr>
              <w:t xml:space="preserve"> without </w:t>
            </w:r>
            <w:r>
              <w:rPr>
                <w:rFonts w:hint="eastAsia"/>
                <w:szCs w:val="21"/>
              </w:rPr>
              <w:t>severe chronic diseases such as serious high blood pressure, cardiovascular/cerebrovascular diseases and diabetes; without metal diseases or epidemic diseases that are likely to cause serious threat to public health; not in the pro</w:t>
            </w:r>
            <w:r>
              <w:rPr>
                <w:rFonts w:hint="eastAsia"/>
                <w:szCs w:val="21"/>
              </w:rPr>
              <w:t>cess of recovering after a major operation or in the process of acute diseases; not seriously disabled or pregnant</w:t>
            </w:r>
          </w:p>
        </w:tc>
      </w:tr>
      <w:tr w:rsidR="00066E21">
        <w:trPr>
          <w:trHeight w:val="520"/>
          <w:jc w:val="center"/>
        </w:trPr>
        <w:tc>
          <w:tcPr>
            <w:tcW w:w="2114" w:type="dxa"/>
            <w:vMerge/>
            <w:tcBorders>
              <w:top w:val="single" w:sz="6" w:space="0" w:color="auto"/>
              <w:left w:val="single" w:sz="8" w:space="0" w:color="auto"/>
              <w:bottom w:val="single" w:sz="6" w:space="0" w:color="auto"/>
              <w:right w:val="single" w:sz="6" w:space="0" w:color="auto"/>
            </w:tcBorders>
            <w:vAlign w:val="center"/>
          </w:tcPr>
          <w:p w:rsidR="00066E21" w:rsidRDefault="00066E21">
            <w:pPr>
              <w:spacing w:line="360" w:lineRule="auto"/>
              <w:jc w:val="center"/>
              <w:rPr>
                <w:color w:val="000000"/>
              </w:rPr>
            </w:pPr>
          </w:p>
        </w:tc>
        <w:tc>
          <w:tcPr>
            <w:tcW w:w="1613" w:type="dxa"/>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rPr>
                <w:color w:val="000000"/>
              </w:rPr>
            </w:pPr>
            <w:r>
              <w:rPr>
                <w:rFonts w:hint="eastAsia"/>
                <w:color w:val="000000"/>
              </w:rPr>
              <w:t>Language</w:t>
            </w:r>
          </w:p>
        </w:tc>
        <w:tc>
          <w:tcPr>
            <w:tcW w:w="5908" w:type="dxa"/>
            <w:gridSpan w:val="6"/>
            <w:tcBorders>
              <w:top w:val="single" w:sz="6" w:space="0" w:color="auto"/>
              <w:left w:val="single" w:sz="6" w:space="0" w:color="auto"/>
              <w:bottom w:val="single" w:sz="6" w:space="0" w:color="auto"/>
              <w:right w:val="single" w:sz="8" w:space="0" w:color="auto"/>
            </w:tcBorders>
            <w:vAlign w:val="center"/>
          </w:tcPr>
          <w:p w:rsidR="00066E21" w:rsidRDefault="004077BF">
            <w:pPr>
              <w:spacing w:line="360" w:lineRule="auto"/>
              <w:rPr>
                <w:color w:val="000000"/>
              </w:rPr>
            </w:pPr>
            <w:r>
              <w:rPr>
                <w:rFonts w:hint="eastAsia"/>
                <w:szCs w:val="21"/>
              </w:rPr>
              <w:t>Capable of listening, speaking, reading and writing in English</w:t>
            </w:r>
          </w:p>
        </w:tc>
      </w:tr>
      <w:tr w:rsidR="00066E21">
        <w:trPr>
          <w:trHeight w:val="558"/>
          <w:jc w:val="center"/>
        </w:trPr>
        <w:tc>
          <w:tcPr>
            <w:tcW w:w="2114" w:type="dxa"/>
            <w:vMerge/>
            <w:tcBorders>
              <w:top w:val="single" w:sz="6" w:space="0" w:color="auto"/>
              <w:left w:val="single" w:sz="8" w:space="0" w:color="auto"/>
              <w:bottom w:val="single" w:sz="6" w:space="0" w:color="auto"/>
              <w:right w:val="single" w:sz="6" w:space="0" w:color="auto"/>
            </w:tcBorders>
            <w:vAlign w:val="center"/>
          </w:tcPr>
          <w:p w:rsidR="00066E21" w:rsidRDefault="00066E21">
            <w:pPr>
              <w:spacing w:line="360" w:lineRule="auto"/>
              <w:jc w:val="center"/>
              <w:rPr>
                <w:color w:val="000000"/>
              </w:rPr>
            </w:pPr>
          </w:p>
        </w:tc>
        <w:tc>
          <w:tcPr>
            <w:tcW w:w="1613" w:type="dxa"/>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rPr>
                <w:color w:val="000000"/>
              </w:rPr>
            </w:pPr>
            <w:r>
              <w:rPr>
                <w:rFonts w:hint="eastAsia"/>
                <w:color w:val="000000"/>
              </w:rPr>
              <w:t>others</w:t>
            </w:r>
          </w:p>
        </w:tc>
        <w:tc>
          <w:tcPr>
            <w:tcW w:w="5908" w:type="dxa"/>
            <w:gridSpan w:val="6"/>
            <w:tcBorders>
              <w:top w:val="single" w:sz="6" w:space="0" w:color="auto"/>
              <w:left w:val="single" w:sz="6" w:space="0" w:color="auto"/>
              <w:bottom w:val="single" w:sz="6" w:space="0" w:color="auto"/>
              <w:right w:val="single" w:sz="8" w:space="0" w:color="auto"/>
            </w:tcBorders>
            <w:vAlign w:val="center"/>
          </w:tcPr>
          <w:p w:rsidR="00066E21" w:rsidRDefault="004077BF">
            <w:pPr>
              <w:spacing w:line="360" w:lineRule="auto"/>
              <w:jc w:val="center"/>
              <w:rPr>
                <w:color w:val="000000"/>
              </w:rPr>
            </w:pPr>
            <w:r>
              <w:rPr>
                <w:rFonts w:hint="eastAsia"/>
                <w:szCs w:val="21"/>
              </w:rPr>
              <w:t>Family members or friends shall not follow</w:t>
            </w:r>
          </w:p>
        </w:tc>
      </w:tr>
      <w:tr w:rsidR="00066E21">
        <w:trPr>
          <w:jc w:val="center"/>
        </w:trPr>
        <w:tc>
          <w:tcPr>
            <w:tcW w:w="2114" w:type="dxa"/>
            <w:tcBorders>
              <w:top w:val="single" w:sz="6" w:space="0" w:color="auto"/>
              <w:left w:val="single" w:sz="8" w:space="0" w:color="auto"/>
              <w:bottom w:val="single" w:sz="6" w:space="0" w:color="auto"/>
              <w:right w:val="single" w:sz="6" w:space="0" w:color="auto"/>
            </w:tcBorders>
            <w:vAlign w:val="center"/>
          </w:tcPr>
          <w:p w:rsidR="00066E21" w:rsidRDefault="004077BF">
            <w:pPr>
              <w:spacing w:line="360" w:lineRule="auto"/>
              <w:jc w:val="center"/>
            </w:pPr>
            <w:r>
              <w:rPr>
                <w:rFonts w:hint="eastAsia"/>
              </w:rPr>
              <w:t>Host City</w:t>
            </w:r>
          </w:p>
        </w:tc>
        <w:tc>
          <w:tcPr>
            <w:tcW w:w="2317" w:type="dxa"/>
            <w:gridSpan w:val="3"/>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pPr>
            <w:r>
              <w:rPr>
                <w:szCs w:val="21"/>
              </w:rPr>
              <w:t>Beijing</w:t>
            </w:r>
          </w:p>
        </w:tc>
        <w:tc>
          <w:tcPr>
            <w:tcW w:w="1939" w:type="dxa"/>
            <w:gridSpan w:val="2"/>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pPr>
            <w:r>
              <w:rPr>
                <w:rFonts w:hint="eastAsia"/>
              </w:rPr>
              <w:t xml:space="preserve">Local Temperature </w:t>
            </w:r>
          </w:p>
        </w:tc>
        <w:tc>
          <w:tcPr>
            <w:tcW w:w="3265" w:type="dxa"/>
            <w:gridSpan w:val="2"/>
            <w:tcBorders>
              <w:top w:val="single" w:sz="6" w:space="0" w:color="auto"/>
              <w:left w:val="single" w:sz="6" w:space="0" w:color="auto"/>
              <w:bottom w:val="single" w:sz="6" w:space="0" w:color="auto"/>
              <w:right w:val="single" w:sz="8" w:space="0" w:color="auto"/>
            </w:tcBorders>
            <w:vAlign w:val="center"/>
          </w:tcPr>
          <w:p w:rsidR="00066E21" w:rsidRDefault="004077BF">
            <w:pPr>
              <w:jc w:val="center"/>
            </w:pPr>
            <w:r>
              <w:rPr>
                <w:rFonts w:hint="eastAsia"/>
              </w:rPr>
              <w:t>Summer, 22-35</w:t>
            </w:r>
            <w:r>
              <w:rPr>
                <w:rFonts w:hint="eastAsia"/>
              </w:rPr>
              <w:t>℃</w:t>
            </w:r>
          </w:p>
        </w:tc>
      </w:tr>
      <w:tr w:rsidR="00066E21">
        <w:trPr>
          <w:jc w:val="center"/>
        </w:trPr>
        <w:tc>
          <w:tcPr>
            <w:tcW w:w="2114" w:type="dxa"/>
            <w:tcBorders>
              <w:top w:val="single" w:sz="6" w:space="0" w:color="auto"/>
              <w:left w:val="single" w:sz="8" w:space="0" w:color="auto"/>
              <w:bottom w:val="single" w:sz="6" w:space="0" w:color="auto"/>
              <w:right w:val="single" w:sz="6" w:space="0" w:color="auto"/>
            </w:tcBorders>
            <w:vAlign w:val="center"/>
          </w:tcPr>
          <w:p w:rsidR="00066E21" w:rsidRDefault="004077BF">
            <w:pPr>
              <w:spacing w:line="360" w:lineRule="auto"/>
              <w:jc w:val="center"/>
            </w:pPr>
            <w:r>
              <w:rPr>
                <w:rFonts w:hint="eastAsia"/>
              </w:rPr>
              <w:t>Cities to visit</w:t>
            </w:r>
          </w:p>
        </w:tc>
        <w:tc>
          <w:tcPr>
            <w:tcW w:w="2317" w:type="dxa"/>
            <w:gridSpan w:val="3"/>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pPr>
            <w:r>
              <w:rPr>
                <w:rFonts w:hint="eastAsia"/>
                <w:bCs/>
              </w:rPr>
              <w:t>Ch</w:t>
            </w:r>
            <w:r>
              <w:rPr>
                <w:bCs/>
              </w:rPr>
              <w:t>ongqing</w:t>
            </w:r>
          </w:p>
          <w:p w:rsidR="00066E21" w:rsidRDefault="004077BF">
            <w:pPr>
              <w:spacing w:line="360" w:lineRule="auto"/>
              <w:jc w:val="center"/>
            </w:pPr>
            <w:r>
              <w:rPr>
                <w:rFonts w:hint="eastAsia"/>
              </w:rPr>
              <w:t>Guangxi</w:t>
            </w:r>
            <w:r>
              <w:rPr>
                <w:rFonts w:hint="eastAsia"/>
              </w:rPr>
              <w:t>（</w:t>
            </w:r>
            <w:r>
              <w:rPr>
                <w:rFonts w:hint="eastAsia"/>
              </w:rPr>
              <w:t>Nanning</w:t>
            </w:r>
            <w:r>
              <w:rPr>
                <w:rFonts w:hint="eastAsia"/>
              </w:rPr>
              <w:t>）</w:t>
            </w:r>
          </w:p>
        </w:tc>
        <w:tc>
          <w:tcPr>
            <w:tcW w:w="1939" w:type="dxa"/>
            <w:gridSpan w:val="2"/>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pPr>
            <w:r>
              <w:rPr>
                <w:rFonts w:hint="eastAsia"/>
              </w:rPr>
              <w:t>Local Temperature</w:t>
            </w:r>
          </w:p>
        </w:tc>
        <w:tc>
          <w:tcPr>
            <w:tcW w:w="3265" w:type="dxa"/>
            <w:gridSpan w:val="2"/>
            <w:tcBorders>
              <w:top w:val="single" w:sz="6" w:space="0" w:color="auto"/>
              <w:left w:val="single" w:sz="6" w:space="0" w:color="auto"/>
              <w:bottom w:val="single" w:sz="6" w:space="0" w:color="auto"/>
              <w:right w:val="single" w:sz="8" w:space="0" w:color="auto"/>
            </w:tcBorders>
            <w:vAlign w:val="center"/>
          </w:tcPr>
          <w:p w:rsidR="00066E21" w:rsidRDefault="004077BF">
            <w:pPr>
              <w:jc w:val="center"/>
            </w:pPr>
            <w:r>
              <w:rPr>
                <w:rFonts w:hint="eastAsia"/>
                <w:bCs/>
              </w:rPr>
              <w:t>Ch</w:t>
            </w:r>
            <w:r>
              <w:rPr>
                <w:bCs/>
              </w:rPr>
              <w:t>ongqing</w:t>
            </w:r>
            <w:r>
              <w:rPr>
                <w:rFonts w:hint="eastAsia"/>
              </w:rPr>
              <w:t>：</w:t>
            </w:r>
            <w:r>
              <w:rPr>
                <w:rFonts w:hint="eastAsia"/>
              </w:rPr>
              <w:t>25-35</w:t>
            </w:r>
            <w:r>
              <w:rPr>
                <w:rFonts w:hint="eastAsia"/>
              </w:rPr>
              <w:t>℃</w:t>
            </w:r>
          </w:p>
          <w:p w:rsidR="00066E21" w:rsidRDefault="004077BF">
            <w:pPr>
              <w:jc w:val="center"/>
            </w:pPr>
            <w:r>
              <w:rPr>
                <w:rFonts w:hint="eastAsia"/>
              </w:rPr>
              <w:t>Nanning</w:t>
            </w:r>
            <w:r>
              <w:rPr>
                <w:rFonts w:hint="eastAsia"/>
              </w:rPr>
              <w:t>：</w:t>
            </w:r>
            <w:r>
              <w:rPr>
                <w:rFonts w:hint="eastAsia"/>
              </w:rPr>
              <w:t>25-35</w:t>
            </w:r>
            <w:r>
              <w:rPr>
                <w:rFonts w:hint="eastAsia"/>
              </w:rPr>
              <w:t>℃</w:t>
            </w:r>
          </w:p>
        </w:tc>
      </w:tr>
      <w:tr w:rsidR="00066E21">
        <w:trPr>
          <w:trHeight w:val="622"/>
          <w:jc w:val="center"/>
        </w:trPr>
        <w:tc>
          <w:tcPr>
            <w:tcW w:w="2114" w:type="dxa"/>
            <w:tcBorders>
              <w:top w:val="single" w:sz="6" w:space="0" w:color="auto"/>
              <w:left w:val="single" w:sz="8" w:space="0" w:color="auto"/>
              <w:bottom w:val="single" w:sz="6" w:space="0" w:color="auto"/>
              <w:right w:val="single" w:sz="6" w:space="0" w:color="auto"/>
            </w:tcBorders>
            <w:vAlign w:val="center"/>
          </w:tcPr>
          <w:p w:rsidR="00066E21" w:rsidRDefault="004077BF">
            <w:pPr>
              <w:spacing w:line="360" w:lineRule="auto"/>
              <w:jc w:val="center"/>
            </w:pPr>
            <w:r>
              <w:rPr>
                <w:rFonts w:hint="eastAsia"/>
              </w:rPr>
              <w:t>Notes</w:t>
            </w:r>
          </w:p>
        </w:tc>
        <w:tc>
          <w:tcPr>
            <w:tcW w:w="7521" w:type="dxa"/>
            <w:gridSpan w:val="7"/>
            <w:tcBorders>
              <w:top w:val="single" w:sz="6" w:space="0" w:color="auto"/>
              <w:left w:val="single" w:sz="6" w:space="0" w:color="auto"/>
              <w:bottom w:val="single" w:sz="6" w:space="0" w:color="auto"/>
              <w:right w:val="single" w:sz="8" w:space="0" w:color="auto"/>
            </w:tcBorders>
            <w:vAlign w:val="center"/>
          </w:tcPr>
          <w:p w:rsidR="00066E21" w:rsidRDefault="004077BF">
            <w:pPr>
              <w:spacing w:line="360" w:lineRule="auto"/>
              <w:jc w:val="center"/>
            </w:pPr>
            <w:r>
              <w:rPr>
                <w:color w:val="000000"/>
                <w:szCs w:val="21"/>
              </w:rPr>
              <w:t>NONE</w:t>
            </w:r>
          </w:p>
        </w:tc>
      </w:tr>
      <w:tr w:rsidR="00066E21">
        <w:trPr>
          <w:jc w:val="center"/>
        </w:trPr>
        <w:tc>
          <w:tcPr>
            <w:tcW w:w="2114" w:type="dxa"/>
            <w:vMerge w:val="restart"/>
            <w:tcBorders>
              <w:top w:val="single" w:sz="6" w:space="0" w:color="auto"/>
              <w:left w:val="single" w:sz="8" w:space="0" w:color="auto"/>
              <w:bottom w:val="single" w:sz="6" w:space="0" w:color="auto"/>
              <w:right w:val="single" w:sz="6" w:space="0" w:color="auto"/>
            </w:tcBorders>
            <w:vAlign w:val="center"/>
          </w:tcPr>
          <w:p w:rsidR="00066E21" w:rsidRDefault="004077BF">
            <w:pPr>
              <w:spacing w:line="360" w:lineRule="auto"/>
              <w:jc w:val="center"/>
            </w:pPr>
            <w:r>
              <w:rPr>
                <w:rFonts w:hint="eastAsia"/>
              </w:rPr>
              <w:t>Contact of  the Organizer</w:t>
            </w:r>
          </w:p>
        </w:tc>
        <w:tc>
          <w:tcPr>
            <w:tcW w:w="1911" w:type="dxa"/>
            <w:gridSpan w:val="2"/>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pPr>
            <w:r>
              <w:t>Contact Person(s)</w:t>
            </w:r>
          </w:p>
        </w:tc>
        <w:tc>
          <w:tcPr>
            <w:tcW w:w="5610" w:type="dxa"/>
            <w:gridSpan w:val="5"/>
            <w:tcBorders>
              <w:top w:val="single" w:sz="6" w:space="0" w:color="auto"/>
              <w:left w:val="single" w:sz="6" w:space="0" w:color="auto"/>
              <w:bottom w:val="single" w:sz="6" w:space="0" w:color="auto"/>
              <w:right w:val="single" w:sz="8" w:space="0" w:color="auto"/>
            </w:tcBorders>
            <w:vAlign w:val="center"/>
          </w:tcPr>
          <w:p w:rsidR="00066E21" w:rsidRDefault="004077BF">
            <w:pPr>
              <w:spacing w:before="100" w:beforeAutospacing="1" w:after="100" w:afterAutospacing="1" w:line="280" w:lineRule="exact"/>
              <w:jc w:val="center"/>
              <w:rPr>
                <w:color w:val="000000"/>
                <w:lang w:val="de-DE"/>
              </w:rPr>
            </w:pPr>
            <w:proofErr w:type="spellStart"/>
            <w:r>
              <w:rPr>
                <w:color w:val="000000"/>
                <w:szCs w:val="21"/>
              </w:rPr>
              <w:t>Hao</w:t>
            </w:r>
            <w:proofErr w:type="spellEnd"/>
            <w:r>
              <w:rPr>
                <w:color w:val="000000"/>
                <w:szCs w:val="21"/>
              </w:rPr>
              <w:t xml:space="preserve"> PENG</w:t>
            </w:r>
            <w:r>
              <w:rPr>
                <w:rFonts w:hint="eastAsia"/>
                <w:color w:val="000000"/>
                <w:szCs w:val="21"/>
              </w:rPr>
              <w:t xml:space="preserve"> /</w:t>
            </w:r>
            <w:r>
              <w:rPr>
                <w:color w:val="000000"/>
                <w:szCs w:val="21"/>
              </w:rPr>
              <w:t xml:space="preserve"> </w:t>
            </w:r>
            <w:proofErr w:type="spellStart"/>
            <w:r>
              <w:rPr>
                <w:rFonts w:hint="eastAsia"/>
                <w:color w:val="000000"/>
                <w:szCs w:val="21"/>
              </w:rPr>
              <w:t>Junhuan</w:t>
            </w:r>
            <w:proofErr w:type="spellEnd"/>
            <w:r>
              <w:rPr>
                <w:rFonts w:hint="eastAsia"/>
                <w:color w:val="000000"/>
                <w:szCs w:val="21"/>
              </w:rPr>
              <w:t xml:space="preserve"> LIU</w:t>
            </w:r>
          </w:p>
        </w:tc>
      </w:tr>
      <w:tr w:rsidR="00066E21">
        <w:trPr>
          <w:jc w:val="center"/>
        </w:trPr>
        <w:tc>
          <w:tcPr>
            <w:tcW w:w="2114" w:type="dxa"/>
            <w:vMerge/>
            <w:tcBorders>
              <w:top w:val="single" w:sz="6" w:space="0" w:color="auto"/>
              <w:left w:val="single" w:sz="8" w:space="0" w:color="auto"/>
              <w:bottom w:val="single" w:sz="6" w:space="0" w:color="auto"/>
              <w:right w:val="single" w:sz="6" w:space="0" w:color="auto"/>
            </w:tcBorders>
            <w:vAlign w:val="center"/>
          </w:tcPr>
          <w:p w:rsidR="00066E21" w:rsidRDefault="00066E21">
            <w:pPr>
              <w:spacing w:line="360" w:lineRule="auto"/>
              <w:jc w:val="center"/>
              <w:rPr>
                <w:color w:val="000000"/>
                <w:lang w:val="de-DE"/>
              </w:rPr>
            </w:pPr>
          </w:p>
        </w:tc>
        <w:tc>
          <w:tcPr>
            <w:tcW w:w="1911" w:type="dxa"/>
            <w:gridSpan w:val="2"/>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rPr>
                <w:color w:val="000000"/>
              </w:rPr>
            </w:pPr>
            <w:r>
              <w:t>Telephone</w:t>
            </w:r>
          </w:p>
        </w:tc>
        <w:tc>
          <w:tcPr>
            <w:tcW w:w="5610" w:type="dxa"/>
            <w:gridSpan w:val="5"/>
            <w:tcBorders>
              <w:top w:val="single" w:sz="6" w:space="0" w:color="auto"/>
              <w:left w:val="single" w:sz="6" w:space="0" w:color="auto"/>
              <w:bottom w:val="single" w:sz="6" w:space="0" w:color="auto"/>
              <w:right w:val="single" w:sz="8" w:space="0" w:color="auto"/>
            </w:tcBorders>
            <w:vAlign w:val="center"/>
          </w:tcPr>
          <w:p w:rsidR="00066E21" w:rsidRDefault="004077BF">
            <w:pPr>
              <w:jc w:val="center"/>
              <w:rPr>
                <w:color w:val="000000"/>
              </w:rPr>
            </w:pPr>
            <w:r>
              <w:rPr>
                <w:rFonts w:hint="eastAsia"/>
                <w:color w:val="000000"/>
                <w:szCs w:val="21"/>
              </w:rPr>
              <w:t>00</w:t>
            </w:r>
            <w:r>
              <w:rPr>
                <w:color w:val="000000"/>
                <w:szCs w:val="21"/>
              </w:rPr>
              <w:t>86-10-53218352</w:t>
            </w:r>
          </w:p>
        </w:tc>
      </w:tr>
      <w:tr w:rsidR="00066E21">
        <w:trPr>
          <w:jc w:val="center"/>
        </w:trPr>
        <w:tc>
          <w:tcPr>
            <w:tcW w:w="2114" w:type="dxa"/>
            <w:vMerge/>
            <w:tcBorders>
              <w:top w:val="single" w:sz="6" w:space="0" w:color="auto"/>
              <w:left w:val="single" w:sz="8" w:space="0" w:color="auto"/>
              <w:bottom w:val="single" w:sz="6" w:space="0" w:color="auto"/>
              <w:right w:val="single" w:sz="6" w:space="0" w:color="auto"/>
            </w:tcBorders>
            <w:vAlign w:val="center"/>
          </w:tcPr>
          <w:p w:rsidR="00066E21" w:rsidRDefault="00066E21">
            <w:pPr>
              <w:spacing w:line="360" w:lineRule="auto"/>
              <w:jc w:val="center"/>
              <w:rPr>
                <w:color w:val="000000"/>
              </w:rPr>
            </w:pPr>
          </w:p>
        </w:tc>
        <w:tc>
          <w:tcPr>
            <w:tcW w:w="1911" w:type="dxa"/>
            <w:gridSpan w:val="2"/>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jc w:val="center"/>
              <w:rPr>
                <w:color w:val="000000"/>
              </w:rPr>
            </w:pPr>
            <w:r>
              <w:t>Cell</w:t>
            </w:r>
          </w:p>
        </w:tc>
        <w:tc>
          <w:tcPr>
            <w:tcW w:w="5610" w:type="dxa"/>
            <w:gridSpan w:val="5"/>
            <w:tcBorders>
              <w:top w:val="single" w:sz="6" w:space="0" w:color="auto"/>
              <w:left w:val="single" w:sz="6" w:space="0" w:color="auto"/>
              <w:bottom w:val="single" w:sz="6" w:space="0" w:color="auto"/>
              <w:right w:val="single" w:sz="8" w:space="0" w:color="auto"/>
            </w:tcBorders>
            <w:vAlign w:val="center"/>
          </w:tcPr>
          <w:p w:rsidR="00066E21" w:rsidRDefault="004077BF">
            <w:pPr>
              <w:spacing w:line="360" w:lineRule="exact"/>
              <w:jc w:val="center"/>
              <w:rPr>
                <w:color w:val="000000"/>
              </w:rPr>
            </w:pPr>
            <w:bookmarkStart w:id="1" w:name="OLE_LINK1"/>
            <w:bookmarkStart w:id="2" w:name="OLE_LINK4"/>
            <w:r>
              <w:rPr>
                <w:rFonts w:hint="eastAsia"/>
                <w:color w:val="000000"/>
                <w:szCs w:val="21"/>
              </w:rPr>
              <w:t>00</w:t>
            </w:r>
            <w:r>
              <w:rPr>
                <w:color w:val="000000"/>
                <w:szCs w:val="21"/>
              </w:rPr>
              <w:t>86-15811250200</w:t>
            </w:r>
            <w:r>
              <w:rPr>
                <w:rFonts w:hint="eastAsia"/>
                <w:color w:val="000000"/>
                <w:szCs w:val="21"/>
              </w:rPr>
              <w:t>(PENG)</w:t>
            </w:r>
            <w:r>
              <w:rPr>
                <w:color w:val="000000"/>
                <w:szCs w:val="21"/>
              </w:rPr>
              <w:t>，</w:t>
            </w:r>
            <w:r>
              <w:rPr>
                <w:rFonts w:hint="eastAsia"/>
                <w:color w:val="000000"/>
                <w:szCs w:val="21"/>
              </w:rPr>
              <w:t>00</w:t>
            </w:r>
            <w:r>
              <w:rPr>
                <w:color w:val="000000"/>
                <w:szCs w:val="21"/>
              </w:rPr>
              <w:t>86-1</w:t>
            </w:r>
            <w:r>
              <w:rPr>
                <w:rFonts w:hint="eastAsia"/>
                <w:color w:val="000000"/>
                <w:szCs w:val="21"/>
              </w:rPr>
              <w:t>8101031092(LIU)</w:t>
            </w:r>
            <w:bookmarkEnd w:id="1"/>
            <w:bookmarkEnd w:id="2"/>
          </w:p>
        </w:tc>
      </w:tr>
      <w:tr w:rsidR="00066E21">
        <w:trPr>
          <w:jc w:val="center"/>
        </w:trPr>
        <w:tc>
          <w:tcPr>
            <w:tcW w:w="2114" w:type="dxa"/>
            <w:vMerge/>
            <w:tcBorders>
              <w:top w:val="single" w:sz="6" w:space="0" w:color="auto"/>
              <w:left w:val="single" w:sz="8" w:space="0" w:color="auto"/>
              <w:bottom w:val="single" w:sz="6" w:space="0" w:color="auto"/>
              <w:right w:val="single" w:sz="6" w:space="0" w:color="auto"/>
            </w:tcBorders>
            <w:vAlign w:val="center"/>
          </w:tcPr>
          <w:p w:rsidR="00066E21" w:rsidRDefault="00066E21">
            <w:pPr>
              <w:spacing w:line="360" w:lineRule="auto"/>
              <w:jc w:val="center"/>
              <w:rPr>
                <w:color w:val="000000"/>
              </w:rPr>
            </w:pPr>
          </w:p>
        </w:tc>
        <w:tc>
          <w:tcPr>
            <w:tcW w:w="1911" w:type="dxa"/>
            <w:gridSpan w:val="2"/>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ind w:leftChars="-51" w:rightChars="-51" w:right="-107" w:hangingChars="51" w:hanging="107"/>
              <w:jc w:val="center"/>
              <w:rPr>
                <w:color w:val="000000"/>
              </w:rPr>
            </w:pPr>
            <w:r>
              <w:t>Fax</w:t>
            </w:r>
          </w:p>
        </w:tc>
        <w:tc>
          <w:tcPr>
            <w:tcW w:w="5610" w:type="dxa"/>
            <w:gridSpan w:val="5"/>
            <w:tcBorders>
              <w:top w:val="single" w:sz="6" w:space="0" w:color="auto"/>
              <w:left w:val="single" w:sz="6" w:space="0" w:color="auto"/>
              <w:bottom w:val="single" w:sz="6" w:space="0" w:color="auto"/>
              <w:right w:val="single" w:sz="8" w:space="0" w:color="auto"/>
            </w:tcBorders>
            <w:vAlign w:val="center"/>
          </w:tcPr>
          <w:p w:rsidR="00066E21" w:rsidRDefault="004077BF">
            <w:pPr>
              <w:spacing w:before="100" w:beforeAutospacing="1" w:after="100" w:afterAutospacing="1" w:line="280" w:lineRule="exact"/>
              <w:jc w:val="center"/>
              <w:rPr>
                <w:color w:val="000000"/>
              </w:rPr>
            </w:pPr>
            <w:r>
              <w:rPr>
                <w:rFonts w:hint="eastAsia"/>
                <w:color w:val="000000"/>
              </w:rPr>
              <w:t>00</w:t>
            </w:r>
            <w:r>
              <w:rPr>
                <w:color w:val="000000"/>
              </w:rPr>
              <w:t>86-10-53218357</w:t>
            </w:r>
          </w:p>
        </w:tc>
      </w:tr>
      <w:tr w:rsidR="00066E21">
        <w:trPr>
          <w:trHeight w:val="1115"/>
          <w:jc w:val="center"/>
        </w:trPr>
        <w:tc>
          <w:tcPr>
            <w:tcW w:w="2114" w:type="dxa"/>
            <w:vMerge/>
            <w:tcBorders>
              <w:top w:val="single" w:sz="6" w:space="0" w:color="auto"/>
              <w:left w:val="single" w:sz="8" w:space="0" w:color="auto"/>
              <w:bottom w:val="single" w:sz="6" w:space="0" w:color="auto"/>
              <w:right w:val="single" w:sz="6" w:space="0" w:color="auto"/>
            </w:tcBorders>
            <w:vAlign w:val="center"/>
          </w:tcPr>
          <w:p w:rsidR="00066E21" w:rsidRDefault="00066E21">
            <w:pPr>
              <w:spacing w:line="360" w:lineRule="auto"/>
              <w:jc w:val="center"/>
              <w:rPr>
                <w:color w:val="000000"/>
              </w:rPr>
            </w:pPr>
          </w:p>
        </w:tc>
        <w:tc>
          <w:tcPr>
            <w:tcW w:w="1911" w:type="dxa"/>
            <w:gridSpan w:val="2"/>
            <w:tcBorders>
              <w:top w:val="single" w:sz="6" w:space="0" w:color="auto"/>
              <w:left w:val="single" w:sz="6" w:space="0" w:color="auto"/>
              <w:bottom w:val="single" w:sz="6" w:space="0" w:color="auto"/>
              <w:right w:val="single" w:sz="6" w:space="0" w:color="auto"/>
            </w:tcBorders>
            <w:vAlign w:val="center"/>
          </w:tcPr>
          <w:p w:rsidR="00066E21" w:rsidRDefault="004077BF">
            <w:pPr>
              <w:spacing w:line="360" w:lineRule="auto"/>
              <w:ind w:leftChars="-51" w:rightChars="-51" w:right="-107" w:hangingChars="51" w:hanging="107"/>
              <w:jc w:val="center"/>
              <w:rPr>
                <w:color w:val="000000"/>
              </w:rPr>
            </w:pPr>
            <w:r>
              <w:t>E-mail</w:t>
            </w:r>
          </w:p>
        </w:tc>
        <w:tc>
          <w:tcPr>
            <w:tcW w:w="5610" w:type="dxa"/>
            <w:gridSpan w:val="5"/>
            <w:tcBorders>
              <w:top w:val="single" w:sz="6" w:space="0" w:color="auto"/>
              <w:left w:val="single" w:sz="6" w:space="0" w:color="auto"/>
              <w:bottom w:val="single" w:sz="6" w:space="0" w:color="auto"/>
              <w:right w:val="single" w:sz="8" w:space="0" w:color="auto"/>
            </w:tcBorders>
            <w:vAlign w:val="center"/>
          </w:tcPr>
          <w:p w:rsidR="00066E21" w:rsidRDefault="004077BF">
            <w:pPr>
              <w:spacing w:line="360" w:lineRule="exact"/>
              <w:jc w:val="center"/>
              <w:rPr>
                <w:szCs w:val="21"/>
                <w:lang w:val="de-DE"/>
              </w:rPr>
            </w:pPr>
            <w:r>
              <w:rPr>
                <w:color w:val="000000"/>
              </w:rPr>
              <w:t>biotechonfood@126.com</w:t>
            </w:r>
            <w:r>
              <w:rPr>
                <w:rFonts w:hint="eastAsia"/>
                <w:color w:val="000000"/>
              </w:rPr>
              <w:t>,</w:t>
            </w:r>
            <w:r>
              <w:rPr>
                <w:color w:val="000000"/>
                <w:szCs w:val="21"/>
              </w:rPr>
              <w:t>huangytt@hotmail.com</w:t>
            </w:r>
          </w:p>
        </w:tc>
      </w:tr>
      <w:tr w:rsidR="00066E21">
        <w:trPr>
          <w:trHeight w:val="8631"/>
          <w:jc w:val="center"/>
        </w:trPr>
        <w:tc>
          <w:tcPr>
            <w:tcW w:w="2114" w:type="dxa"/>
            <w:tcBorders>
              <w:top w:val="single" w:sz="6" w:space="0" w:color="auto"/>
              <w:left w:val="single" w:sz="8" w:space="0" w:color="auto"/>
              <w:bottom w:val="single" w:sz="6" w:space="0" w:color="auto"/>
              <w:right w:val="single" w:sz="6" w:space="0" w:color="auto"/>
            </w:tcBorders>
            <w:vAlign w:val="center"/>
          </w:tcPr>
          <w:p w:rsidR="00066E21" w:rsidRDefault="004077BF">
            <w:pPr>
              <w:spacing w:line="360" w:lineRule="auto"/>
              <w:jc w:val="center"/>
              <w:rPr>
                <w:color w:val="000000"/>
              </w:rPr>
            </w:pPr>
            <w:r>
              <w:rPr>
                <w:rFonts w:hint="eastAsia"/>
                <w:color w:val="000000"/>
              </w:rPr>
              <w:t xml:space="preserve">About the Organizer </w:t>
            </w:r>
          </w:p>
        </w:tc>
        <w:tc>
          <w:tcPr>
            <w:tcW w:w="7521" w:type="dxa"/>
            <w:gridSpan w:val="7"/>
            <w:tcBorders>
              <w:top w:val="single" w:sz="6" w:space="0" w:color="auto"/>
              <w:left w:val="single" w:sz="6" w:space="0" w:color="auto"/>
              <w:bottom w:val="single" w:sz="6" w:space="0" w:color="auto"/>
              <w:right w:val="single" w:sz="8" w:space="0" w:color="auto"/>
            </w:tcBorders>
            <w:vAlign w:val="center"/>
          </w:tcPr>
          <w:p w:rsidR="00066E21" w:rsidRDefault="004077BF">
            <w:pPr>
              <w:ind w:firstLine="420"/>
            </w:pPr>
            <w:r>
              <w:t xml:space="preserve">Established in 1955, China National Research Institute of Food and Fermentation Industries (CNRIFFI) </w:t>
            </w:r>
            <w:proofErr w:type="gramStart"/>
            <w:r>
              <w:t>is</w:t>
            </w:r>
            <w:proofErr w:type="gramEnd"/>
            <w:r>
              <w:t xml:space="preserve"> China’s most</w:t>
            </w:r>
            <w:r>
              <w:t xml:space="preserve"> prominent scientific research institute in food industry with the longest history and largest scale, as well as the most important technical platform in food industry and founder of multiple food sectors. Since its establishment, CNRIFFI has won more than</w:t>
            </w:r>
            <w:r>
              <w:t xml:space="preserve"> 60 awards on national, ministerial and provincial levels and has undertaken nearly 800 scientific research projects on national, ministerial and provincial levels. By providing services worth hundreds of billions of RMB </w:t>
            </w:r>
            <w:proofErr w:type="spellStart"/>
            <w:r>
              <w:t>yuan</w:t>
            </w:r>
            <w:proofErr w:type="spellEnd"/>
            <w:r>
              <w:t xml:space="preserve"> for over 10,000 enterprises, t</w:t>
            </w:r>
            <w:r>
              <w:t>he Institute has made tremendous contribution to the development of China’s food industry. Building on its strong technical capacity, CNRIFFI has retained authority in R&amp;D of new food products and technologies, standards formulation, quality inspection, et</w:t>
            </w:r>
            <w:r>
              <w:t>c. CNRIFFI also functions as secretariats of national and international standards formulation organs for over 10 products and secretariat of several food industrial associations. Besides, 6 national centers are attached to CNRIFFI, namely: the National Foo</w:t>
            </w:r>
            <w:r>
              <w:t>d Quality Supervision and Inspection Center, the National Standardization Center of Food &amp; Fermentation Industry, China Industry Culture Collection Center, China-Germany International Center for Brewing Quality and Safety, National Information Center of Fo</w:t>
            </w:r>
            <w:r>
              <w:t>od &amp; Fermentation Industries, Beijing Engineering Research Center of Protein and Functional Peptides and International Training Center.</w:t>
            </w:r>
          </w:p>
          <w:p w:rsidR="00066E21" w:rsidRDefault="004077BF">
            <w:pPr>
              <w:ind w:firstLine="420"/>
              <w:rPr>
                <w:szCs w:val="21"/>
              </w:rPr>
            </w:pPr>
            <w:r>
              <w:t>Since 2005, sponsored by the Ministry of Commerce of China, CNRIFFI has organized 82 seminars and technical training cou</w:t>
            </w:r>
            <w:r>
              <w:t>rses for developing countries, covering such themes as food safety management, food safety inspection technology, biotechnology application in food industry, agricultural products processing, food processing and preservation technology, fruit processing an</w:t>
            </w:r>
            <w:r>
              <w:t>d comprehensive utilization, etc. Through these foreign-aid training programs, food safety and food-related biotechnology trainings provided by CNRIFFI have become a major platform for international human resource training and technical exchanges. By the e</w:t>
            </w:r>
            <w:r>
              <w:t>nd of 2016, over 3,100 officials and technical personnel from 129 developing countries have participated in various training programs which have effectively advanced food technology and economic growth in developing countries and played an important role i</w:t>
            </w:r>
            <w:r>
              <w:t>n promoting cooperation and exchanges, trade and technical transfer in China’s food industry.</w:t>
            </w:r>
          </w:p>
        </w:tc>
      </w:tr>
      <w:tr w:rsidR="00066E21">
        <w:trPr>
          <w:trHeight w:val="2679"/>
          <w:jc w:val="center"/>
        </w:trPr>
        <w:tc>
          <w:tcPr>
            <w:tcW w:w="2114" w:type="dxa"/>
            <w:tcBorders>
              <w:top w:val="single" w:sz="6" w:space="0" w:color="auto"/>
              <w:left w:val="single" w:sz="8" w:space="0" w:color="auto"/>
              <w:bottom w:val="single" w:sz="8" w:space="0" w:color="auto"/>
              <w:right w:val="single" w:sz="6" w:space="0" w:color="auto"/>
            </w:tcBorders>
            <w:vAlign w:val="center"/>
          </w:tcPr>
          <w:p w:rsidR="00066E21" w:rsidRDefault="004077BF">
            <w:pPr>
              <w:spacing w:line="360" w:lineRule="auto"/>
              <w:jc w:val="center"/>
              <w:rPr>
                <w:color w:val="000000"/>
              </w:rPr>
            </w:pPr>
            <w:r>
              <w:rPr>
                <w:rFonts w:hint="eastAsia"/>
                <w:color w:val="000000"/>
              </w:rPr>
              <w:lastRenderedPageBreak/>
              <w:t>Training Course Content</w:t>
            </w:r>
          </w:p>
        </w:tc>
        <w:tc>
          <w:tcPr>
            <w:tcW w:w="7521" w:type="dxa"/>
            <w:gridSpan w:val="7"/>
            <w:tcBorders>
              <w:top w:val="single" w:sz="6" w:space="0" w:color="auto"/>
              <w:left w:val="single" w:sz="6" w:space="0" w:color="auto"/>
              <w:bottom w:val="single" w:sz="8" w:space="0" w:color="auto"/>
              <w:right w:val="single" w:sz="8" w:space="0" w:color="auto"/>
            </w:tcBorders>
          </w:tcPr>
          <w:p w:rsidR="00066E21" w:rsidRDefault="004077BF">
            <w:pPr>
              <w:widowControl/>
              <w:adjustRightInd w:val="0"/>
              <w:snapToGrid w:val="0"/>
              <w:spacing w:line="360" w:lineRule="exact"/>
              <w:ind w:firstLineChars="100" w:firstLine="210"/>
            </w:pPr>
            <w:r>
              <w:t xml:space="preserve">Commissioned by the Ministry of Commerce of P.R. China, China National Research Institute of Food and Fermentation Industries (CNRIFFI) </w:t>
            </w:r>
            <w:r>
              <w:t>is to organize “201</w:t>
            </w:r>
            <w:r>
              <w:rPr>
                <w:rFonts w:hint="eastAsia"/>
              </w:rPr>
              <w:t>7</w:t>
            </w:r>
            <w:r>
              <w:t xml:space="preserve"> Seminar on Import-Export Food Inspection and Food Safety for Developing Countries” (Working language: English, duration: 21 days) from </w:t>
            </w:r>
            <w:r>
              <w:rPr>
                <w:rFonts w:hint="eastAsia"/>
              </w:rPr>
              <w:t>June</w:t>
            </w:r>
            <w:r>
              <w:t xml:space="preserve"> </w:t>
            </w:r>
            <w:r>
              <w:rPr>
                <w:rFonts w:hint="eastAsia"/>
              </w:rPr>
              <w:t>6</w:t>
            </w:r>
            <w:r>
              <w:rPr>
                <w:rFonts w:hint="eastAsia"/>
                <w:vertAlign w:val="superscript"/>
              </w:rPr>
              <w:t>th</w:t>
            </w:r>
            <w:r>
              <w:t xml:space="preserve"> to </w:t>
            </w:r>
            <w:r>
              <w:rPr>
                <w:rFonts w:hint="eastAsia"/>
              </w:rPr>
              <w:t>June</w:t>
            </w:r>
            <w:r>
              <w:t xml:space="preserve"> 2</w:t>
            </w:r>
            <w:r>
              <w:rPr>
                <w:rFonts w:hint="eastAsia"/>
              </w:rPr>
              <w:t>6</w:t>
            </w:r>
            <w:r>
              <w:rPr>
                <w:rFonts w:hint="eastAsia"/>
                <w:vertAlign w:val="superscript"/>
              </w:rPr>
              <w:t>th</w:t>
            </w:r>
            <w:r>
              <w:t>, 201</w:t>
            </w:r>
            <w:r>
              <w:rPr>
                <w:rFonts w:hint="eastAsia"/>
              </w:rPr>
              <w:t>7</w:t>
            </w:r>
            <w:r>
              <w:t>. The seminar is designed to disseminate experience and lessons, organiza</w:t>
            </w:r>
            <w:r>
              <w:t>tional structure, sharing of power and responsibility and supervision model of China’s import-export Food Inspection, enable participants to master food safety concepts, management experience and relevant technologies applicable to developing countries, br</w:t>
            </w:r>
            <w:r>
              <w:t>oaden their knowledge and build up their capacity of tackling import-export food inspection and food safety problems in their own countries. The seminar shall consist of a series of lectures on the following topics: Analysis of the Current Status of Food S</w:t>
            </w:r>
            <w:r>
              <w:t xml:space="preserve">afety in China, Food Safety Management Framework System in China, Food Production and Import-Export Inspection and Supervision in China, Food Safety Standard System in China, On-site Rapid Detection Technique for Food Safety, Establishment, Inspection and </w:t>
            </w:r>
            <w:r>
              <w:t xml:space="preserve">Administration of Safety and Quality Traceability System for Agro-Products, etc. Factory visits and field trips in </w:t>
            </w:r>
            <w:r>
              <w:rPr>
                <w:rFonts w:hint="eastAsia"/>
              </w:rPr>
              <w:t xml:space="preserve">Nanning </w:t>
            </w:r>
            <w:r>
              <w:t>and Chongqing city will also be included.</w:t>
            </w:r>
          </w:p>
          <w:p w:rsidR="00066E21" w:rsidRDefault="004077BF">
            <w:pPr>
              <w:widowControl/>
              <w:adjustRightInd w:val="0"/>
              <w:snapToGrid w:val="0"/>
              <w:spacing w:line="360" w:lineRule="exact"/>
              <w:ind w:firstLineChars="200" w:firstLine="420"/>
              <w:rPr>
                <w:color w:val="000000"/>
                <w:szCs w:val="21"/>
              </w:rPr>
            </w:pPr>
            <w:r>
              <w:t>This seminar will show experiences and achievements of China’s import-export food inspectio</w:t>
            </w:r>
            <w:r>
              <w:t>n and food safety management, and help participants thoroughly understand the current situation, development, experience accumulated and</w:t>
            </w:r>
            <w:r>
              <w:rPr>
                <w:rFonts w:hint="eastAsia"/>
              </w:rPr>
              <w:t xml:space="preserve"> </w:t>
            </w:r>
            <w:r>
              <w:t>achievements of China’s food industry. The seminar will also build a platform for communications</w:t>
            </w:r>
            <w:r>
              <w:rPr>
                <w:rFonts w:hint="eastAsia"/>
              </w:rPr>
              <w:t xml:space="preserve"> </w:t>
            </w:r>
            <w:r>
              <w:t>among participants fro</w:t>
            </w:r>
            <w:r>
              <w:t>m developing countries, network domestic and international experts in food industry, and promote international cooperation projects and export of technical products.</w:t>
            </w:r>
          </w:p>
        </w:tc>
      </w:tr>
    </w:tbl>
    <w:p w:rsidR="00066E21" w:rsidRDefault="00066E21"/>
    <w:sectPr w:rsidR="00066E21">
      <w:pgSz w:w="11906" w:h="16838"/>
      <w:pgMar w:top="1134" w:right="1588" w:bottom="1134"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AE"/>
    <w:rsid w:val="00005FB5"/>
    <w:rsid w:val="00017FB8"/>
    <w:rsid w:val="00020281"/>
    <w:rsid w:val="000214FC"/>
    <w:rsid w:val="00024D96"/>
    <w:rsid w:val="00036D06"/>
    <w:rsid w:val="00057523"/>
    <w:rsid w:val="00066E21"/>
    <w:rsid w:val="000E3ECE"/>
    <w:rsid w:val="000F306D"/>
    <w:rsid w:val="00113B39"/>
    <w:rsid w:val="00117A3D"/>
    <w:rsid w:val="00165B43"/>
    <w:rsid w:val="00191C72"/>
    <w:rsid w:val="00194265"/>
    <w:rsid w:val="00194BAE"/>
    <w:rsid w:val="001A01B4"/>
    <w:rsid w:val="001A1361"/>
    <w:rsid w:val="001A3394"/>
    <w:rsid w:val="001C4DD0"/>
    <w:rsid w:val="001E4573"/>
    <w:rsid w:val="001F00E3"/>
    <w:rsid w:val="001F25FC"/>
    <w:rsid w:val="00216332"/>
    <w:rsid w:val="002A4A0A"/>
    <w:rsid w:val="002B4DDE"/>
    <w:rsid w:val="00311BA1"/>
    <w:rsid w:val="00313970"/>
    <w:rsid w:val="00382134"/>
    <w:rsid w:val="003A62C5"/>
    <w:rsid w:val="003C0B58"/>
    <w:rsid w:val="00405947"/>
    <w:rsid w:val="004077BF"/>
    <w:rsid w:val="0042109D"/>
    <w:rsid w:val="00463A89"/>
    <w:rsid w:val="004739F2"/>
    <w:rsid w:val="004765C7"/>
    <w:rsid w:val="00483946"/>
    <w:rsid w:val="004970AA"/>
    <w:rsid w:val="004C78CB"/>
    <w:rsid w:val="004D18EA"/>
    <w:rsid w:val="004D2FA3"/>
    <w:rsid w:val="005239CD"/>
    <w:rsid w:val="00555D8D"/>
    <w:rsid w:val="0058197E"/>
    <w:rsid w:val="005A11D2"/>
    <w:rsid w:val="005C6EFE"/>
    <w:rsid w:val="005F3A8B"/>
    <w:rsid w:val="00610404"/>
    <w:rsid w:val="006143F4"/>
    <w:rsid w:val="006231EF"/>
    <w:rsid w:val="006232FA"/>
    <w:rsid w:val="006411CB"/>
    <w:rsid w:val="006D569A"/>
    <w:rsid w:val="006E3CA0"/>
    <w:rsid w:val="007043BE"/>
    <w:rsid w:val="0073159E"/>
    <w:rsid w:val="00754823"/>
    <w:rsid w:val="00755F99"/>
    <w:rsid w:val="00765FD6"/>
    <w:rsid w:val="00785748"/>
    <w:rsid w:val="007A528B"/>
    <w:rsid w:val="007F4BC8"/>
    <w:rsid w:val="008026A3"/>
    <w:rsid w:val="008035C9"/>
    <w:rsid w:val="008055D4"/>
    <w:rsid w:val="00866354"/>
    <w:rsid w:val="008D7730"/>
    <w:rsid w:val="008E09AC"/>
    <w:rsid w:val="008F6221"/>
    <w:rsid w:val="00934BEE"/>
    <w:rsid w:val="009640DE"/>
    <w:rsid w:val="00992443"/>
    <w:rsid w:val="009B7587"/>
    <w:rsid w:val="00A02246"/>
    <w:rsid w:val="00A05EC5"/>
    <w:rsid w:val="00A45BE3"/>
    <w:rsid w:val="00A77182"/>
    <w:rsid w:val="00AA1F87"/>
    <w:rsid w:val="00AA5F19"/>
    <w:rsid w:val="00AF1ECB"/>
    <w:rsid w:val="00AF21EB"/>
    <w:rsid w:val="00B2189C"/>
    <w:rsid w:val="00B5446D"/>
    <w:rsid w:val="00B66A98"/>
    <w:rsid w:val="00B82830"/>
    <w:rsid w:val="00B965FD"/>
    <w:rsid w:val="00BE4F1B"/>
    <w:rsid w:val="00C255A8"/>
    <w:rsid w:val="00C40A26"/>
    <w:rsid w:val="00C53085"/>
    <w:rsid w:val="00C70498"/>
    <w:rsid w:val="00CC2548"/>
    <w:rsid w:val="00CE6D01"/>
    <w:rsid w:val="00D26100"/>
    <w:rsid w:val="00D46FAE"/>
    <w:rsid w:val="00D5707C"/>
    <w:rsid w:val="00DE0875"/>
    <w:rsid w:val="00DF044E"/>
    <w:rsid w:val="00E06B0C"/>
    <w:rsid w:val="00E364ED"/>
    <w:rsid w:val="00E37693"/>
    <w:rsid w:val="00E56CC8"/>
    <w:rsid w:val="00E87DC3"/>
    <w:rsid w:val="00E93EEB"/>
    <w:rsid w:val="00E96671"/>
    <w:rsid w:val="00EA11CB"/>
    <w:rsid w:val="00EE6E30"/>
    <w:rsid w:val="00F44966"/>
    <w:rsid w:val="00F515A0"/>
    <w:rsid w:val="00F51AEC"/>
    <w:rsid w:val="00FA3459"/>
    <w:rsid w:val="00FB0B1F"/>
    <w:rsid w:val="00FC4E63"/>
    <w:rsid w:val="00FC6442"/>
    <w:rsid w:val="00FD39D9"/>
    <w:rsid w:val="00FD4590"/>
    <w:rsid w:val="00FE1E69"/>
    <w:rsid w:val="00FF33E5"/>
    <w:rsid w:val="2D0231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PE" w:eastAsia="es-P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153"/>
        <w:tab w:val="right" w:pos="8306"/>
      </w:tabs>
      <w:snapToGrid w:val="0"/>
      <w:jc w:val="left"/>
    </w:pPr>
    <w:rPr>
      <w:sz w:val="18"/>
      <w:szCs w:val="18"/>
    </w:rPr>
  </w:style>
  <w:style w:type="paragraph" w:styleId="Encabezado">
    <w:name w:val="header"/>
    <w:basedOn w:val="Normal"/>
    <w:link w:val="EncabezadoCar"/>
    <w:qFormat/>
    <w:pPr>
      <w:pBdr>
        <w:bottom w:val="single" w:sz="6" w:space="1" w:color="auto"/>
      </w:pBdr>
      <w:tabs>
        <w:tab w:val="center" w:pos="4153"/>
        <w:tab w:val="right" w:pos="8306"/>
      </w:tabs>
      <w:snapToGrid w:val="0"/>
      <w:jc w:val="center"/>
    </w:pPr>
    <w:rPr>
      <w:sz w:val="18"/>
      <w:szCs w:val="18"/>
    </w:rPr>
  </w:style>
  <w:style w:type="character" w:styleId="Hipervnculo">
    <w:name w:val="Hyperlink"/>
    <w:basedOn w:val="Fuentedeprrafopredeter"/>
    <w:rPr>
      <w:color w:val="0000FF"/>
      <w:u w:val="single"/>
    </w:rPr>
  </w:style>
  <w:style w:type="character" w:customStyle="1" w:styleId="EncabezadoCar">
    <w:name w:val="Encabezado Car"/>
    <w:basedOn w:val="Fuentedeprrafopredeter"/>
    <w:link w:val="Encabezado"/>
    <w:rPr>
      <w:kern w:val="2"/>
      <w:sz w:val="18"/>
      <w:szCs w:val="18"/>
    </w:rPr>
  </w:style>
  <w:style w:type="character" w:customStyle="1" w:styleId="PiedepginaCar">
    <w:name w:val="Pie de página Car"/>
    <w:basedOn w:val="Fuentedeprrafopredeter"/>
    <w:link w:val="Piedepgin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PE" w:eastAsia="es-P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153"/>
        <w:tab w:val="right" w:pos="8306"/>
      </w:tabs>
      <w:snapToGrid w:val="0"/>
      <w:jc w:val="left"/>
    </w:pPr>
    <w:rPr>
      <w:sz w:val="18"/>
      <w:szCs w:val="18"/>
    </w:rPr>
  </w:style>
  <w:style w:type="paragraph" w:styleId="Encabezado">
    <w:name w:val="header"/>
    <w:basedOn w:val="Normal"/>
    <w:link w:val="EncabezadoCar"/>
    <w:qFormat/>
    <w:pPr>
      <w:pBdr>
        <w:bottom w:val="single" w:sz="6" w:space="1" w:color="auto"/>
      </w:pBdr>
      <w:tabs>
        <w:tab w:val="center" w:pos="4153"/>
        <w:tab w:val="right" w:pos="8306"/>
      </w:tabs>
      <w:snapToGrid w:val="0"/>
      <w:jc w:val="center"/>
    </w:pPr>
    <w:rPr>
      <w:sz w:val="18"/>
      <w:szCs w:val="18"/>
    </w:rPr>
  </w:style>
  <w:style w:type="character" w:styleId="Hipervnculo">
    <w:name w:val="Hyperlink"/>
    <w:basedOn w:val="Fuentedeprrafopredeter"/>
    <w:rPr>
      <w:color w:val="0000FF"/>
      <w:u w:val="single"/>
    </w:rPr>
  </w:style>
  <w:style w:type="character" w:customStyle="1" w:styleId="EncabezadoCar">
    <w:name w:val="Encabezado Car"/>
    <w:basedOn w:val="Fuentedeprrafopredeter"/>
    <w:link w:val="Encabezado"/>
    <w:rPr>
      <w:kern w:val="2"/>
      <w:sz w:val="18"/>
      <w:szCs w:val="18"/>
    </w:rPr>
  </w:style>
  <w:style w:type="character" w:customStyle="1" w:styleId="PiedepginaCar">
    <w:name w:val="Pie de página Car"/>
    <w:basedOn w:val="Fuentedeprrafopredeter"/>
    <w:link w:val="Piedepgin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7F2CA-A1E4-4825-BEFE-BBBBE36C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附件：</vt:lpstr>
    </vt:vector>
  </TitlesOfParts>
  <Company>China</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用户</dc:creator>
  <cp:lastModifiedBy>Monica Ramirez Molina</cp:lastModifiedBy>
  <cp:revision>2</cp:revision>
  <dcterms:created xsi:type="dcterms:W3CDTF">2017-03-22T19:37:00Z</dcterms:created>
  <dcterms:modified xsi:type="dcterms:W3CDTF">2017-03-22T19:37:00Z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