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20" w:rsidRDefault="00EE7E44" w:rsidP="00120969">
      <w:pPr>
        <w:ind w:rightChars="218" w:right="458"/>
        <w:jc w:val="center"/>
        <w:rPr>
          <w:b/>
          <w:bCs/>
          <w:sz w:val="30"/>
          <w:szCs w:val="30"/>
        </w:rPr>
      </w:pPr>
      <w:r>
        <w:rPr>
          <w:rFonts w:hint="eastAsia"/>
          <w:b/>
          <w:bCs/>
          <w:sz w:val="30"/>
          <w:szCs w:val="30"/>
        </w:rPr>
        <w:t>Project Description</w:t>
      </w:r>
    </w:p>
    <w:tbl>
      <w:tblPr>
        <w:tblpPr w:leftFromText="180" w:rightFromText="180" w:vertAnchor="text" w:horzAnchor="page" w:tblpX="1187" w:tblpY="493"/>
        <w:tblOverlap w:val="never"/>
        <w:tblW w:w="99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29"/>
        <w:gridCol w:w="1559"/>
        <w:gridCol w:w="249"/>
        <w:gridCol w:w="249"/>
        <w:gridCol w:w="636"/>
        <w:gridCol w:w="1419"/>
        <w:gridCol w:w="140"/>
        <w:gridCol w:w="3429"/>
      </w:tblGrid>
      <w:tr w:rsidR="002B2320">
        <w:tc>
          <w:tcPr>
            <w:tcW w:w="2229" w:type="dxa"/>
            <w:tcBorders>
              <w:top w:val="single" w:sz="8"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 xml:space="preserve">Name </w:t>
            </w:r>
          </w:p>
        </w:tc>
        <w:tc>
          <w:tcPr>
            <w:tcW w:w="7681" w:type="dxa"/>
            <w:gridSpan w:val="7"/>
            <w:tcBorders>
              <w:top w:val="single" w:sz="8" w:space="0" w:color="auto"/>
              <w:left w:val="single" w:sz="6" w:space="0" w:color="auto"/>
              <w:bottom w:val="single" w:sz="6" w:space="0" w:color="auto"/>
              <w:right w:val="single" w:sz="8" w:space="0" w:color="auto"/>
            </w:tcBorders>
          </w:tcPr>
          <w:p w:rsidR="002B2320" w:rsidRDefault="00EE7E44">
            <w:pPr>
              <w:ind w:rightChars="218" w:right="458"/>
              <w:rPr>
                <w:szCs w:val="21"/>
              </w:rPr>
            </w:pPr>
            <w:r>
              <w:rPr>
                <w:szCs w:val="21"/>
              </w:rPr>
              <w:t>201</w:t>
            </w:r>
            <w:r>
              <w:rPr>
                <w:rFonts w:hint="eastAsia"/>
                <w:szCs w:val="21"/>
              </w:rPr>
              <w:t>7</w:t>
            </w:r>
            <w:r>
              <w:rPr>
                <w:szCs w:val="21"/>
              </w:rPr>
              <w:t xml:space="preserve"> Minister-level Seminar on Pharmaceutical Supervision and Management for Developing Countries.</w:t>
            </w:r>
          </w:p>
        </w:tc>
      </w:tr>
      <w:tr w:rsidR="002B2320">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 xml:space="preserve">Organizer </w:t>
            </w:r>
          </w:p>
        </w:tc>
        <w:tc>
          <w:tcPr>
            <w:tcW w:w="7681" w:type="dxa"/>
            <w:gridSpan w:val="7"/>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szCs w:val="21"/>
              </w:rPr>
              <w:t xml:space="preserve">Shanghai </w:t>
            </w:r>
            <w:proofErr w:type="spellStart"/>
            <w:r>
              <w:rPr>
                <w:szCs w:val="21"/>
              </w:rPr>
              <w:t>Fosun</w:t>
            </w:r>
            <w:proofErr w:type="spellEnd"/>
            <w:r>
              <w:rPr>
                <w:szCs w:val="21"/>
              </w:rPr>
              <w:t xml:space="preserve"> Pharmaceutical Development Co., Ltd</w:t>
            </w:r>
          </w:p>
        </w:tc>
      </w:tr>
      <w:tr w:rsidR="002B2320">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Time</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rFonts w:hint="eastAsia"/>
                <w:szCs w:val="21"/>
              </w:rPr>
              <w:t xml:space="preserve">July.12 </w:t>
            </w:r>
            <w:r>
              <w:rPr>
                <w:szCs w:val="21"/>
              </w:rPr>
              <w:t>—</w:t>
            </w:r>
            <w:r>
              <w:rPr>
                <w:rFonts w:hint="eastAsia"/>
                <w:szCs w:val="21"/>
              </w:rPr>
              <w:t xml:space="preserve">July.18, 2017 </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Language</w:t>
            </w:r>
          </w:p>
        </w:tc>
        <w:tc>
          <w:tcPr>
            <w:tcW w:w="3429" w:type="dxa"/>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szCs w:val="21"/>
              </w:rPr>
              <w:t>English</w:t>
            </w:r>
          </w:p>
        </w:tc>
      </w:tr>
      <w:tr w:rsidR="002B2320">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Invited Countries</w:t>
            </w:r>
          </w:p>
        </w:tc>
        <w:tc>
          <w:tcPr>
            <w:tcW w:w="7681" w:type="dxa"/>
            <w:gridSpan w:val="7"/>
            <w:tcBorders>
              <w:top w:val="single" w:sz="6" w:space="0" w:color="auto"/>
              <w:left w:val="single" w:sz="6" w:space="0" w:color="auto"/>
              <w:bottom w:val="single" w:sz="6" w:space="0" w:color="auto"/>
              <w:right w:val="single" w:sz="8" w:space="0" w:color="auto"/>
            </w:tcBorders>
          </w:tcPr>
          <w:p w:rsidR="002B2320" w:rsidRDefault="00EE7E44">
            <w:pPr>
              <w:ind w:rightChars="218" w:right="458"/>
              <w:rPr>
                <w:szCs w:val="21"/>
              </w:rPr>
            </w:pPr>
            <w:bookmarkStart w:id="0" w:name="OLE_LINK63"/>
            <w:bookmarkStart w:id="1" w:name="OLE_LINK64"/>
            <w:bookmarkStart w:id="2" w:name="OLE_LINK24"/>
            <w:bookmarkStart w:id="3" w:name="OLE_LINK23"/>
            <w:bookmarkStart w:id="4" w:name="OLE_LINK25"/>
            <w:bookmarkStart w:id="5" w:name="OLE_LINK22"/>
            <w:r>
              <w:rPr>
                <w:rFonts w:hint="eastAsia"/>
                <w:szCs w:val="21"/>
              </w:rPr>
              <w:t>Minister-</w:t>
            </w:r>
            <w:proofErr w:type="spellStart"/>
            <w:r>
              <w:rPr>
                <w:rFonts w:hint="eastAsia"/>
                <w:szCs w:val="21"/>
              </w:rPr>
              <w:t>level</w:t>
            </w:r>
            <w:bookmarkEnd w:id="0"/>
            <w:bookmarkEnd w:id="1"/>
            <w:r>
              <w:rPr>
                <w:szCs w:val="21"/>
              </w:rPr>
              <w:t>official</w:t>
            </w:r>
            <w:r>
              <w:rPr>
                <w:rFonts w:hint="eastAsia"/>
                <w:szCs w:val="21"/>
              </w:rPr>
              <w:t>s</w:t>
            </w:r>
            <w:proofErr w:type="spellEnd"/>
            <w:r>
              <w:rPr>
                <w:szCs w:val="21"/>
              </w:rPr>
              <w:t xml:space="preserve"> in the field of supervision and management of pharmaceutical products for </w:t>
            </w:r>
            <w:r>
              <w:rPr>
                <w:rFonts w:hint="eastAsia"/>
                <w:szCs w:val="21"/>
              </w:rPr>
              <w:t>d</w:t>
            </w:r>
            <w:r>
              <w:rPr>
                <w:szCs w:val="21"/>
              </w:rPr>
              <w:t xml:space="preserve">eveloping </w:t>
            </w:r>
            <w:r>
              <w:rPr>
                <w:rFonts w:hint="eastAsia"/>
                <w:szCs w:val="21"/>
              </w:rPr>
              <w:t>c</w:t>
            </w:r>
            <w:r>
              <w:rPr>
                <w:szCs w:val="21"/>
              </w:rPr>
              <w:t>ountries</w:t>
            </w:r>
            <w:r>
              <w:rPr>
                <w:rFonts w:hint="eastAsia"/>
                <w:szCs w:val="21"/>
              </w:rPr>
              <w:t>.</w:t>
            </w:r>
            <w:bookmarkEnd w:id="2"/>
            <w:bookmarkEnd w:id="3"/>
            <w:bookmarkEnd w:id="4"/>
            <w:bookmarkEnd w:id="5"/>
          </w:p>
        </w:tc>
      </w:tr>
      <w:tr w:rsidR="002B2320">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Number of Participants</w:t>
            </w:r>
          </w:p>
        </w:tc>
        <w:tc>
          <w:tcPr>
            <w:tcW w:w="7681" w:type="dxa"/>
            <w:gridSpan w:val="7"/>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rFonts w:hint="eastAsia"/>
                <w:szCs w:val="21"/>
              </w:rPr>
              <w:t xml:space="preserve">20 </w:t>
            </w:r>
          </w:p>
        </w:tc>
      </w:tr>
      <w:tr w:rsidR="002B2320">
        <w:trPr>
          <w:trHeight w:val="552"/>
        </w:trPr>
        <w:tc>
          <w:tcPr>
            <w:tcW w:w="2229" w:type="dxa"/>
            <w:vMerge w:val="restart"/>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Requirements for the Participants</w:t>
            </w:r>
          </w:p>
        </w:tc>
        <w:tc>
          <w:tcPr>
            <w:tcW w:w="1559" w:type="dxa"/>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Age</w:t>
            </w:r>
          </w:p>
        </w:tc>
        <w:tc>
          <w:tcPr>
            <w:tcW w:w="6122" w:type="dxa"/>
            <w:gridSpan w:val="6"/>
            <w:tcBorders>
              <w:top w:val="single" w:sz="6" w:space="0" w:color="auto"/>
              <w:left w:val="single" w:sz="6" w:space="0" w:color="auto"/>
              <w:bottom w:val="single" w:sz="6" w:space="0" w:color="auto"/>
              <w:right w:val="single" w:sz="8" w:space="0" w:color="auto"/>
            </w:tcBorders>
          </w:tcPr>
          <w:p w:rsidR="002B2320" w:rsidRDefault="00EE7E44">
            <w:pPr>
              <w:ind w:rightChars="218" w:right="458"/>
              <w:rPr>
                <w:szCs w:val="21"/>
              </w:rPr>
            </w:pPr>
            <w:bookmarkStart w:id="6" w:name="OLE_LINK14"/>
            <w:r>
              <w:rPr>
                <w:rFonts w:hint="eastAsia"/>
                <w:szCs w:val="21"/>
              </w:rPr>
              <w:t xml:space="preserve">Minister can bring a director general or a </w:t>
            </w:r>
            <w:r>
              <w:rPr>
                <w:szCs w:val="21"/>
              </w:rPr>
              <w:t>division director as his/her assistant</w:t>
            </w:r>
            <w:r>
              <w:rPr>
                <w:rFonts w:hint="eastAsia"/>
                <w:szCs w:val="21"/>
              </w:rPr>
              <w:t xml:space="preserve">. </w:t>
            </w:r>
            <w:bookmarkEnd w:id="6"/>
            <w:r>
              <w:rPr>
                <w:szCs w:val="21"/>
              </w:rPr>
              <w:t xml:space="preserve">Under </w:t>
            </w:r>
            <w:r>
              <w:rPr>
                <w:rFonts w:hint="eastAsia"/>
                <w:szCs w:val="21"/>
              </w:rPr>
              <w:t>45</w:t>
            </w:r>
            <w:r>
              <w:rPr>
                <w:szCs w:val="21"/>
              </w:rPr>
              <w:t xml:space="preserve"> for officials at or under director’s level; under 5</w:t>
            </w:r>
            <w:r>
              <w:rPr>
                <w:rFonts w:hint="eastAsia"/>
                <w:szCs w:val="21"/>
              </w:rPr>
              <w:t xml:space="preserve">0 </w:t>
            </w:r>
            <w:r>
              <w:rPr>
                <w:szCs w:val="21"/>
              </w:rPr>
              <w:t>for officials at director general’s level</w:t>
            </w:r>
          </w:p>
        </w:tc>
      </w:tr>
      <w:tr w:rsidR="002B2320">
        <w:tc>
          <w:tcPr>
            <w:tcW w:w="2229" w:type="dxa"/>
            <w:vMerge/>
            <w:tcBorders>
              <w:top w:val="single" w:sz="6" w:space="0" w:color="auto"/>
              <w:left w:val="single" w:sz="8" w:space="0" w:color="auto"/>
              <w:bottom w:val="single" w:sz="6" w:space="0" w:color="auto"/>
              <w:right w:val="single" w:sz="6" w:space="0" w:color="auto"/>
            </w:tcBorders>
            <w:vAlign w:val="center"/>
          </w:tcPr>
          <w:p w:rsidR="002B2320" w:rsidRDefault="002B2320">
            <w:pPr>
              <w:ind w:rightChars="218" w:right="458"/>
              <w:jc w:val="center"/>
              <w:rPr>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Health</w:t>
            </w:r>
          </w:p>
        </w:tc>
        <w:tc>
          <w:tcPr>
            <w:tcW w:w="6122" w:type="dxa"/>
            <w:gridSpan w:val="6"/>
            <w:tcBorders>
              <w:top w:val="single" w:sz="6" w:space="0" w:color="auto"/>
              <w:left w:val="single" w:sz="6" w:space="0" w:color="auto"/>
              <w:bottom w:val="single" w:sz="6" w:space="0" w:color="auto"/>
              <w:right w:val="single" w:sz="8" w:space="0" w:color="auto"/>
            </w:tcBorders>
          </w:tcPr>
          <w:p w:rsidR="002B2320" w:rsidRDefault="00EE7E44">
            <w:pPr>
              <w:ind w:rightChars="218" w:right="458"/>
              <w:rPr>
                <w:szCs w:val="21"/>
              </w:rPr>
            </w:pPr>
            <w:r>
              <w:rPr>
                <w:color w:val="000000"/>
                <w:szCs w:val="21"/>
              </w:rPr>
              <w:t>In good health with health certificate issued by the local public hospitals; without diseases with which entry to China is disallowed by China’s laws and regulations; without severe chronic diseases such as serious high blood pressure, cardiovascular/</w:t>
            </w:r>
            <w:proofErr w:type="spellStart"/>
            <w:r>
              <w:rPr>
                <w:color w:val="000000"/>
                <w:szCs w:val="21"/>
              </w:rPr>
              <w:t>cerebro</w:t>
            </w:r>
            <w:proofErr w:type="spellEnd"/>
            <w:r w:rsidR="001D5469">
              <w:rPr>
                <w:color w:val="000000"/>
                <w:szCs w:val="21"/>
              </w:rPr>
              <w:t xml:space="preserve"> </w:t>
            </w:r>
            <w:r>
              <w:rPr>
                <w:color w:val="000000"/>
                <w:szCs w:val="21"/>
              </w:rPr>
              <w:t>vascular</w:t>
            </w:r>
            <w:r w:rsidR="001D5469">
              <w:rPr>
                <w:color w:val="000000"/>
                <w:szCs w:val="21"/>
              </w:rPr>
              <w:t xml:space="preserve"> </w:t>
            </w:r>
            <w:bookmarkStart w:id="7" w:name="_GoBack"/>
            <w:bookmarkEnd w:id="7"/>
            <w:r>
              <w:rPr>
                <w:color w:val="000000"/>
                <w:szCs w:val="21"/>
              </w:rPr>
              <w:t>diseases and diabetes; without metal diseases or epidemic diseases that are likely to cause serious threat to public health; not in the process of recovering after a major operation or in the process of acute diseases; not seriously disabled or pregnant.</w:t>
            </w:r>
          </w:p>
        </w:tc>
      </w:tr>
      <w:tr w:rsidR="002B2320">
        <w:trPr>
          <w:trHeight w:val="522"/>
        </w:trPr>
        <w:tc>
          <w:tcPr>
            <w:tcW w:w="2229" w:type="dxa"/>
            <w:vMerge/>
            <w:tcBorders>
              <w:top w:val="single" w:sz="6" w:space="0" w:color="auto"/>
              <w:left w:val="single" w:sz="8" w:space="0" w:color="auto"/>
              <w:bottom w:val="single" w:sz="6" w:space="0" w:color="auto"/>
              <w:right w:val="single" w:sz="6" w:space="0" w:color="auto"/>
            </w:tcBorders>
            <w:vAlign w:val="center"/>
          </w:tcPr>
          <w:p w:rsidR="002B2320" w:rsidRDefault="002B2320">
            <w:pPr>
              <w:ind w:rightChars="218" w:right="458"/>
              <w:jc w:val="center"/>
              <w:rPr>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Language</w:t>
            </w:r>
          </w:p>
        </w:tc>
        <w:tc>
          <w:tcPr>
            <w:tcW w:w="6122" w:type="dxa"/>
            <w:gridSpan w:val="6"/>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szCs w:val="21"/>
              </w:rPr>
              <w:t>Capable of listening, speaking, reading and writing in English</w:t>
            </w:r>
            <w:r>
              <w:rPr>
                <w:rFonts w:hint="eastAsia"/>
                <w:szCs w:val="21"/>
              </w:rPr>
              <w:t>.</w:t>
            </w:r>
          </w:p>
        </w:tc>
      </w:tr>
      <w:tr w:rsidR="002B2320">
        <w:trPr>
          <w:trHeight w:val="672"/>
        </w:trPr>
        <w:tc>
          <w:tcPr>
            <w:tcW w:w="2229" w:type="dxa"/>
            <w:vMerge/>
            <w:tcBorders>
              <w:top w:val="single" w:sz="6" w:space="0" w:color="auto"/>
              <w:left w:val="single" w:sz="8" w:space="0" w:color="auto"/>
              <w:bottom w:val="single" w:sz="6" w:space="0" w:color="auto"/>
              <w:right w:val="single" w:sz="6" w:space="0" w:color="auto"/>
            </w:tcBorders>
            <w:vAlign w:val="center"/>
          </w:tcPr>
          <w:p w:rsidR="002B2320" w:rsidRDefault="002B2320">
            <w:pPr>
              <w:ind w:rightChars="218" w:right="458"/>
              <w:jc w:val="center"/>
              <w:rPr>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others</w:t>
            </w:r>
          </w:p>
        </w:tc>
        <w:tc>
          <w:tcPr>
            <w:tcW w:w="6122" w:type="dxa"/>
            <w:gridSpan w:val="6"/>
            <w:tcBorders>
              <w:top w:val="single" w:sz="6" w:space="0" w:color="auto"/>
              <w:left w:val="single" w:sz="6" w:space="0" w:color="auto"/>
              <w:bottom w:val="single" w:sz="6" w:space="0" w:color="auto"/>
              <w:right w:val="single" w:sz="8" w:space="0" w:color="auto"/>
            </w:tcBorders>
          </w:tcPr>
          <w:p w:rsidR="002B2320" w:rsidRDefault="00EE7E44">
            <w:pPr>
              <w:ind w:rightChars="218" w:right="458"/>
              <w:rPr>
                <w:szCs w:val="21"/>
              </w:rPr>
            </w:pPr>
            <w:r>
              <w:rPr>
                <w:szCs w:val="21"/>
              </w:rPr>
              <w:t>The expenses of family members or friends coming to and </w:t>
            </w:r>
          </w:p>
          <w:p w:rsidR="002B2320" w:rsidRDefault="00EE7E44">
            <w:pPr>
              <w:ind w:rightChars="218" w:right="458"/>
              <w:rPr>
                <w:szCs w:val="21"/>
              </w:rPr>
            </w:pPr>
            <w:proofErr w:type="gramStart"/>
            <w:r>
              <w:rPr>
                <w:szCs w:val="21"/>
              </w:rPr>
              <w:t>stay</w:t>
            </w:r>
            <w:r>
              <w:rPr>
                <w:rFonts w:hint="eastAsia"/>
                <w:szCs w:val="21"/>
              </w:rPr>
              <w:t>i</w:t>
            </w:r>
            <w:r>
              <w:rPr>
                <w:szCs w:val="21"/>
              </w:rPr>
              <w:t>ng</w:t>
            </w:r>
            <w:proofErr w:type="gramEnd"/>
            <w:r>
              <w:rPr>
                <w:szCs w:val="21"/>
              </w:rPr>
              <w:t> in China will be not covered by the Chinese </w:t>
            </w:r>
            <w:proofErr w:type="spellStart"/>
            <w:r>
              <w:rPr>
                <w:rFonts w:hint="eastAsia"/>
                <w:szCs w:val="21"/>
              </w:rPr>
              <w:t>Governmen</w:t>
            </w:r>
            <w:proofErr w:type="spellEnd"/>
            <w:r>
              <w:rPr>
                <w:szCs w:val="21"/>
              </w:rPr>
              <w:t xml:space="preserve">.  </w:t>
            </w:r>
          </w:p>
        </w:tc>
      </w:tr>
      <w:tr w:rsidR="002B2320">
        <w:trPr>
          <w:trHeight w:val="417"/>
        </w:trPr>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Host City</w:t>
            </w:r>
          </w:p>
        </w:tc>
        <w:tc>
          <w:tcPr>
            <w:tcW w:w="1808" w:type="dxa"/>
            <w:gridSpan w:val="2"/>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rFonts w:hint="eastAsia"/>
                <w:szCs w:val="21"/>
              </w:rPr>
              <w:t>Beijing</w:t>
            </w:r>
          </w:p>
        </w:tc>
        <w:tc>
          <w:tcPr>
            <w:tcW w:w="2304" w:type="dxa"/>
            <w:gridSpan w:val="3"/>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 xml:space="preserve">Local temperature </w:t>
            </w:r>
          </w:p>
        </w:tc>
        <w:tc>
          <w:tcPr>
            <w:tcW w:w="3569" w:type="dxa"/>
            <w:gridSpan w:val="2"/>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rFonts w:hint="eastAsia"/>
                <w:szCs w:val="21"/>
              </w:rPr>
              <w:t>19-30</w:t>
            </w:r>
            <w:r>
              <w:rPr>
                <w:rFonts w:ascii="SimSun" w:hAnsi="SimSun" w:cs="SimSun" w:hint="eastAsia"/>
                <w:szCs w:val="21"/>
              </w:rPr>
              <w:t>℃</w:t>
            </w:r>
          </w:p>
        </w:tc>
      </w:tr>
      <w:tr w:rsidR="002B2320">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Cities to visit</w:t>
            </w:r>
          </w:p>
        </w:tc>
        <w:tc>
          <w:tcPr>
            <w:tcW w:w="1808" w:type="dxa"/>
            <w:gridSpan w:val="2"/>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rFonts w:hint="eastAsia"/>
                <w:kern w:val="0"/>
                <w:szCs w:val="21"/>
              </w:rPr>
              <w:t>Shanghai</w:t>
            </w:r>
          </w:p>
        </w:tc>
        <w:tc>
          <w:tcPr>
            <w:tcW w:w="2304" w:type="dxa"/>
            <w:gridSpan w:val="3"/>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Local temperature</w:t>
            </w:r>
          </w:p>
        </w:tc>
        <w:tc>
          <w:tcPr>
            <w:tcW w:w="3569" w:type="dxa"/>
            <w:gridSpan w:val="2"/>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bookmarkStart w:id="8" w:name="OLE_LINK1"/>
            <w:bookmarkStart w:id="9" w:name="OLE_LINK2"/>
            <w:r>
              <w:rPr>
                <w:rFonts w:hint="eastAsia"/>
                <w:szCs w:val="21"/>
              </w:rPr>
              <w:t>21-27</w:t>
            </w:r>
            <w:r>
              <w:rPr>
                <w:szCs w:val="21"/>
              </w:rPr>
              <w:t>℃</w:t>
            </w:r>
            <w:bookmarkEnd w:id="8"/>
            <w:bookmarkEnd w:id="9"/>
          </w:p>
        </w:tc>
      </w:tr>
      <w:tr w:rsidR="002B2320">
        <w:trPr>
          <w:trHeight w:val="612"/>
        </w:trPr>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Notes</w:t>
            </w:r>
          </w:p>
        </w:tc>
        <w:tc>
          <w:tcPr>
            <w:tcW w:w="7681" w:type="dxa"/>
            <w:gridSpan w:val="7"/>
            <w:tcBorders>
              <w:top w:val="single" w:sz="6" w:space="0" w:color="auto"/>
              <w:left w:val="single" w:sz="6" w:space="0" w:color="auto"/>
              <w:bottom w:val="single" w:sz="6" w:space="0" w:color="auto"/>
              <w:right w:val="single" w:sz="8" w:space="0" w:color="auto"/>
            </w:tcBorders>
            <w:vAlign w:val="center"/>
          </w:tcPr>
          <w:p w:rsidR="002B2320" w:rsidRDefault="002B2320">
            <w:pPr>
              <w:ind w:rightChars="218" w:right="458"/>
              <w:jc w:val="center"/>
              <w:rPr>
                <w:szCs w:val="21"/>
              </w:rPr>
            </w:pPr>
          </w:p>
        </w:tc>
      </w:tr>
      <w:tr w:rsidR="002B2320">
        <w:trPr>
          <w:trHeight w:val="552"/>
        </w:trPr>
        <w:tc>
          <w:tcPr>
            <w:tcW w:w="2229" w:type="dxa"/>
            <w:vMerge w:val="restart"/>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Contact of the organizer</w:t>
            </w:r>
          </w:p>
        </w:tc>
        <w:tc>
          <w:tcPr>
            <w:tcW w:w="2057" w:type="dxa"/>
            <w:gridSpan w:val="3"/>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Contact Person</w:t>
            </w:r>
          </w:p>
        </w:tc>
        <w:tc>
          <w:tcPr>
            <w:tcW w:w="5624" w:type="dxa"/>
            <w:gridSpan w:val="4"/>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szCs w:val="21"/>
              </w:rPr>
              <w:t xml:space="preserve">Miss </w:t>
            </w:r>
            <w:r>
              <w:rPr>
                <w:rFonts w:hint="eastAsia"/>
                <w:szCs w:val="21"/>
              </w:rPr>
              <w:t xml:space="preserve">Huang </w:t>
            </w:r>
            <w:r>
              <w:rPr>
                <w:szCs w:val="21"/>
              </w:rPr>
              <w:t xml:space="preserve">Ling </w:t>
            </w:r>
            <w:r>
              <w:rPr>
                <w:rFonts w:hint="eastAsia"/>
                <w:szCs w:val="21"/>
              </w:rPr>
              <w:t>；</w:t>
            </w:r>
            <w:proofErr w:type="spellStart"/>
            <w:r>
              <w:rPr>
                <w:szCs w:val="21"/>
              </w:rPr>
              <w:t>M</w:t>
            </w:r>
            <w:r>
              <w:rPr>
                <w:rFonts w:hint="eastAsia"/>
                <w:szCs w:val="21"/>
              </w:rPr>
              <w:t>r</w:t>
            </w:r>
            <w:proofErr w:type="spellEnd"/>
            <w:r>
              <w:rPr>
                <w:szCs w:val="21"/>
              </w:rPr>
              <w:t xml:space="preserve"> </w:t>
            </w:r>
            <w:r>
              <w:rPr>
                <w:rFonts w:hint="eastAsia"/>
                <w:szCs w:val="21"/>
              </w:rPr>
              <w:t xml:space="preserve">Su </w:t>
            </w:r>
            <w:proofErr w:type="spellStart"/>
            <w:r>
              <w:rPr>
                <w:rFonts w:hint="eastAsia"/>
                <w:szCs w:val="21"/>
              </w:rPr>
              <w:t>Mingjie</w:t>
            </w:r>
            <w:proofErr w:type="spellEnd"/>
          </w:p>
        </w:tc>
      </w:tr>
      <w:tr w:rsidR="002B2320">
        <w:trPr>
          <w:trHeight w:val="522"/>
        </w:trPr>
        <w:tc>
          <w:tcPr>
            <w:tcW w:w="2229" w:type="dxa"/>
            <w:vMerge/>
            <w:tcBorders>
              <w:top w:val="single" w:sz="6" w:space="0" w:color="auto"/>
              <w:left w:val="single" w:sz="8" w:space="0" w:color="auto"/>
              <w:bottom w:val="single" w:sz="6" w:space="0" w:color="auto"/>
              <w:right w:val="single" w:sz="6" w:space="0" w:color="auto"/>
            </w:tcBorders>
            <w:vAlign w:val="center"/>
          </w:tcPr>
          <w:p w:rsidR="002B2320" w:rsidRDefault="002B2320">
            <w:pPr>
              <w:ind w:rightChars="218" w:right="458"/>
              <w:jc w:val="center"/>
              <w:rPr>
                <w:szCs w:val="21"/>
              </w:rPr>
            </w:pPr>
          </w:p>
        </w:tc>
        <w:tc>
          <w:tcPr>
            <w:tcW w:w="2057" w:type="dxa"/>
            <w:gridSpan w:val="3"/>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Phone</w:t>
            </w:r>
          </w:p>
        </w:tc>
        <w:tc>
          <w:tcPr>
            <w:tcW w:w="5624" w:type="dxa"/>
            <w:gridSpan w:val="4"/>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szCs w:val="21"/>
              </w:rPr>
              <w:t>0086-</w:t>
            </w:r>
            <w:r>
              <w:rPr>
                <w:rFonts w:hint="eastAsia"/>
                <w:szCs w:val="21"/>
              </w:rPr>
              <w:t>10</w:t>
            </w:r>
            <w:r>
              <w:rPr>
                <w:szCs w:val="21"/>
              </w:rPr>
              <w:t>-</w:t>
            </w:r>
            <w:r>
              <w:rPr>
                <w:color w:val="000000"/>
                <w:szCs w:val="21"/>
              </w:rPr>
              <w:t>59770902</w:t>
            </w:r>
          </w:p>
        </w:tc>
      </w:tr>
      <w:tr w:rsidR="002B2320" w:rsidRPr="001D5469">
        <w:trPr>
          <w:trHeight w:val="552"/>
        </w:trPr>
        <w:tc>
          <w:tcPr>
            <w:tcW w:w="2229" w:type="dxa"/>
            <w:vMerge/>
            <w:tcBorders>
              <w:top w:val="single" w:sz="6" w:space="0" w:color="auto"/>
              <w:left w:val="single" w:sz="8" w:space="0" w:color="auto"/>
              <w:bottom w:val="single" w:sz="6" w:space="0" w:color="auto"/>
              <w:right w:val="single" w:sz="6" w:space="0" w:color="auto"/>
            </w:tcBorders>
            <w:vAlign w:val="center"/>
          </w:tcPr>
          <w:p w:rsidR="002B2320" w:rsidRDefault="002B2320">
            <w:pPr>
              <w:ind w:rightChars="218" w:right="458"/>
              <w:jc w:val="center"/>
              <w:rPr>
                <w:szCs w:val="21"/>
              </w:rPr>
            </w:pPr>
          </w:p>
        </w:tc>
        <w:tc>
          <w:tcPr>
            <w:tcW w:w="2057" w:type="dxa"/>
            <w:gridSpan w:val="3"/>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Mobile phone</w:t>
            </w:r>
          </w:p>
        </w:tc>
        <w:tc>
          <w:tcPr>
            <w:tcW w:w="5624" w:type="dxa"/>
            <w:gridSpan w:val="4"/>
            <w:tcBorders>
              <w:top w:val="single" w:sz="6" w:space="0" w:color="auto"/>
              <w:left w:val="single" w:sz="6" w:space="0" w:color="auto"/>
              <w:bottom w:val="single" w:sz="6" w:space="0" w:color="auto"/>
              <w:right w:val="single" w:sz="8" w:space="0" w:color="auto"/>
            </w:tcBorders>
            <w:vAlign w:val="center"/>
          </w:tcPr>
          <w:p w:rsidR="002B2320" w:rsidRPr="00120969" w:rsidRDefault="00EE7E44">
            <w:pPr>
              <w:ind w:rightChars="218" w:right="458"/>
              <w:jc w:val="center"/>
              <w:rPr>
                <w:szCs w:val="21"/>
                <w:lang w:val="es-PE"/>
              </w:rPr>
            </w:pPr>
            <w:r w:rsidRPr="00120969">
              <w:rPr>
                <w:szCs w:val="21"/>
                <w:lang w:val="es-PE"/>
              </w:rPr>
              <w:t>0086-</w:t>
            </w:r>
            <w:r w:rsidRPr="00120969">
              <w:rPr>
                <w:color w:val="000000"/>
                <w:szCs w:val="21"/>
                <w:lang w:val="es-PE"/>
              </w:rPr>
              <w:t>13811119236</w:t>
            </w:r>
            <w:r w:rsidRPr="00120969">
              <w:rPr>
                <w:szCs w:val="21"/>
                <w:lang w:val="es-PE"/>
              </w:rPr>
              <w:t>(</w:t>
            </w:r>
            <w:r w:rsidRPr="00120969">
              <w:rPr>
                <w:rFonts w:hint="eastAsia"/>
                <w:szCs w:val="21"/>
                <w:lang w:val="es-PE"/>
              </w:rPr>
              <w:t xml:space="preserve"> Huang </w:t>
            </w:r>
            <w:r w:rsidRPr="00120969">
              <w:rPr>
                <w:szCs w:val="21"/>
                <w:lang w:val="es-PE"/>
              </w:rPr>
              <w:t>Ling )</w:t>
            </w:r>
            <w:r w:rsidRPr="00120969">
              <w:rPr>
                <w:rFonts w:hint="eastAsia"/>
                <w:szCs w:val="21"/>
                <w:lang w:val="es-PE"/>
              </w:rPr>
              <w:t>，</w:t>
            </w:r>
            <w:r w:rsidRPr="00120969">
              <w:rPr>
                <w:szCs w:val="21"/>
                <w:lang w:val="es-PE"/>
              </w:rPr>
              <w:t>0086-</w:t>
            </w:r>
            <w:r w:rsidRPr="00120969">
              <w:rPr>
                <w:rFonts w:hint="eastAsia"/>
                <w:color w:val="000000"/>
                <w:szCs w:val="21"/>
                <w:lang w:val="es-PE"/>
              </w:rPr>
              <w:t>13564353804</w:t>
            </w:r>
            <w:r w:rsidRPr="00120969">
              <w:rPr>
                <w:szCs w:val="21"/>
                <w:lang w:val="es-PE"/>
              </w:rPr>
              <w:t>(</w:t>
            </w:r>
            <w:r w:rsidRPr="00120969">
              <w:rPr>
                <w:rFonts w:hint="eastAsia"/>
                <w:szCs w:val="21"/>
                <w:lang w:val="es-PE"/>
              </w:rPr>
              <w:t xml:space="preserve"> Su Mingjie</w:t>
            </w:r>
            <w:r w:rsidRPr="00120969">
              <w:rPr>
                <w:szCs w:val="21"/>
                <w:lang w:val="es-PE"/>
              </w:rPr>
              <w:t xml:space="preserve"> )</w:t>
            </w:r>
          </w:p>
        </w:tc>
      </w:tr>
      <w:tr w:rsidR="002B2320">
        <w:trPr>
          <w:trHeight w:val="627"/>
        </w:trPr>
        <w:tc>
          <w:tcPr>
            <w:tcW w:w="2229" w:type="dxa"/>
            <w:vMerge/>
            <w:tcBorders>
              <w:top w:val="single" w:sz="6" w:space="0" w:color="auto"/>
              <w:left w:val="single" w:sz="8" w:space="0" w:color="auto"/>
              <w:bottom w:val="single" w:sz="6" w:space="0" w:color="auto"/>
              <w:right w:val="single" w:sz="6" w:space="0" w:color="auto"/>
            </w:tcBorders>
            <w:vAlign w:val="center"/>
          </w:tcPr>
          <w:p w:rsidR="002B2320" w:rsidRPr="00120969" w:rsidRDefault="002B2320">
            <w:pPr>
              <w:ind w:rightChars="218" w:right="458"/>
              <w:jc w:val="center"/>
              <w:rPr>
                <w:szCs w:val="21"/>
                <w:lang w:val="es-PE"/>
              </w:rPr>
            </w:pPr>
          </w:p>
        </w:tc>
        <w:tc>
          <w:tcPr>
            <w:tcW w:w="2057" w:type="dxa"/>
            <w:gridSpan w:val="3"/>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Fax</w:t>
            </w:r>
          </w:p>
        </w:tc>
        <w:tc>
          <w:tcPr>
            <w:tcW w:w="5624" w:type="dxa"/>
            <w:gridSpan w:val="4"/>
            <w:tcBorders>
              <w:top w:val="single" w:sz="6" w:space="0" w:color="auto"/>
              <w:left w:val="single" w:sz="6" w:space="0" w:color="auto"/>
              <w:bottom w:val="single" w:sz="6" w:space="0" w:color="auto"/>
              <w:right w:val="single" w:sz="8" w:space="0" w:color="auto"/>
            </w:tcBorders>
            <w:vAlign w:val="center"/>
          </w:tcPr>
          <w:p w:rsidR="002B2320" w:rsidRDefault="00EE7E44">
            <w:pPr>
              <w:ind w:rightChars="218" w:right="458"/>
              <w:jc w:val="center"/>
              <w:rPr>
                <w:szCs w:val="21"/>
              </w:rPr>
            </w:pPr>
            <w:r>
              <w:rPr>
                <w:szCs w:val="21"/>
              </w:rPr>
              <w:t>0086-1</w:t>
            </w:r>
            <w:r>
              <w:rPr>
                <w:rFonts w:hint="eastAsia"/>
                <w:szCs w:val="21"/>
              </w:rPr>
              <w:t>0</w:t>
            </w:r>
            <w:r>
              <w:rPr>
                <w:szCs w:val="21"/>
              </w:rPr>
              <w:t>-</w:t>
            </w:r>
            <w:r>
              <w:rPr>
                <w:rFonts w:hint="eastAsia"/>
                <w:color w:val="000000"/>
                <w:szCs w:val="21"/>
              </w:rPr>
              <w:t>59770955</w:t>
            </w:r>
          </w:p>
        </w:tc>
      </w:tr>
      <w:tr w:rsidR="002B2320" w:rsidRPr="001D5469">
        <w:trPr>
          <w:trHeight w:val="957"/>
        </w:trPr>
        <w:tc>
          <w:tcPr>
            <w:tcW w:w="2229" w:type="dxa"/>
            <w:vMerge/>
            <w:tcBorders>
              <w:top w:val="single" w:sz="6" w:space="0" w:color="auto"/>
              <w:left w:val="single" w:sz="8" w:space="0" w:color="auto"/>
              <w:bottom w:val="single" w:sz="6" w:space="0" w:color="auto"/>
              <w:right w:val="single" w:sz="6" w:space="0" w:color="auto"/>
            </w:tcBorders>
            <w:vAlign w:val="center"/>
          </w:tcPr>
          <w:p w:rsidR="002B2320" w:rsidRDefault="002B2320">
            <w:pPr>
              <w:ind w:rightChars="218" w:right="458"/>
              <w:jc w:val="center"/>
              <w:rPr>
                <w:szCs w:val="21"/>
              </w:rPr>
            </w:pPr>
          </w:p>
        </w:tc>
        <w:tc>
          <w:tcPr>
            <w:tcW w:w="2057" w:type="dxa"/>
            <w:gridSpan w:val="3"/>
            <w:tcBorders>
              <w:top w:val="single" w:sz="6" w:space="0" w:color="auto"/>
              <w:left w:val="single" w:sz="6"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t>E-mail</w:t>
            </w:r>
          </w:p>
        </w:tc>
        <w:tc>
          <w:tcPr>
            <w:tcW w:w="5624" w:type="dxa"/>
            <w:gridSpan w:val="4"/>
            <w:tcBorders>
              <w:top w:val="single" w:sz="6" w:space="0" w:color="auto"/>
              <w:left w:val="single" w:sz="6" w:space="0" w:color="auto"/>
              <w:bottom w:val="single" w:sz="6" w:space="0" w:color="auto"/>
              <w:right w:val="single" w:sz="8" w:space="0" w:color="auto"/>
            </w:tcBorders>
            <w:vAlign w:val="center"/>
          </w:tcPr>
          <w:p w:rsidR="002B2320" w:rsidRDefault="00320091">
            <w:pPr>
              <w:ind w:rightChars="218" w:right="458"/>
              <w:jc w:val="center"/>
              <w:rPr>
                <w:szCs w:val="21"/>
              </w:rPr>
            </w:pPr>
            <w:hyperlink r:id="rId8" w:history="1">
              <w:r w:rsidR="00EE7E44">
                <w:rPr>
                  <w:rFonts w:hint="eastAsia"/>
                  <w:color w:val="000000"/>
                  <w:szCs w:val="21"/>
                </w:rPr>
                <w:t xml:space="preserve"> huangl@guilinpharma.com</w:t>
              </w:r>
              <w:r w:rsidR="00EE7E44">
                <w:t xml:space="preserve"> (</w:t>
              </w:r>
              <w:r w:rsidR="00EE7E44">
                <w:rPr>
                  <w:rFonts w:hint="eastAsia"/>
                  <w:szCs w:val="21"/>
                </w:rPr>
                <w:t xml:space="preserve"> Huang </w:t>
              </w:r>
              <w:r w:rsidR="00EE7E44">
                <w:rPr>
                  <w:szCs w:val="21"/>
                </w:rPr>
                <w:t xml:space="preserve">Ling </w:t>
              </w:r>
            </w:hyperlink>
            <w:r w:rsidR="00EE7E44">
              <w:rPr>
                <w:szCs w:val="21"/>
              </w:rPr>
              <w:t>)</w:t>
            </w:r>
            <w:r w:rsidR="00EE7E44">
              <w:rPr>
                <w:rFonts w:hint="eastAsia"/>
                <w:szCs w:val="21"/>
              </w:rPr>
              <w:t>；</w:t>
            </w:r>
            <w:r w:rsidR="002B2320">
              <w:fldChar w:fldCharType="begin"/>
            </w:r>
            <w:r w:rsidR="00EE7E44">
              <w:instrText xml:space="preserve"> HYPERLINK "mailto:didominyu@hotmail.com(YU);" </w:instrText>
            </w:r>
            <w:r w:rsidR="002B2320">
              <w:fldChar w:fldCharType="separate"/>
            </w:r>
            <w:r w:rsidR="00EE7E44">
              <w:rPr>
                <w:rFonts w:hint="eastAsia"/>
                <w:szCs w:val="21"/>
              </w:rPr>
              <w:t xml:space="preserve"> </w:t>
            </w:r>
          </w:p>
          <w:p w:rsidR="002B2320" w:rsidRPr="00120969" w:rsidRDefault="00EE7E44">
            <w:pPr>
              <w:ind w:rightChars="218" w:right="458"/>
              <w:jc w:val="center"/>
              <w:rPr>
                <w:szCs w:val="21"/>
                <w:lang w:val="es-PE"/>
              </w:rPr>
            </w:pPr>
            <w:proofErr w:type="spellStart"/>
            <w:r w:rsidRPr="00120969">
              <w:rPr>
                <w:rFonts w:hint="eastAsia"/>
                <w:szCs w:val="21"/>
                <w:lang w:val="es-PE"/>
              </w:rPr>
              <w:t>sumj</w:t>
            </w:r>
            <w:proofErr w:type="spellEnd"/>
            <w:r w:rsidRPr="00120969">
              <w:rPr>
                <w:szCs w:val="21"/>
                <w:lang w:val="es-PE"/>
              </w:rPr>
              <w:t>@</w:t>
            </w:r>
            <w:r>
              <w:rPr>
                <w:color w:val="000000"/>
                <w:kern w:val="0"/>
                <w:szCs w:val="21"/>
                <w:lang w:val="fr-FR"/>
              </w:rPr>
              <w:t xml:space="preserve"> guilinpharma.com</w:t>
            </w:r>
            <w:r w:rsidRPr="00120969">
              <w:rPr>
                <w:lang w:val="es-PE"/>
              </w:rPr>
              <w:t xml:space="preserve"> (</w:t>
            </w:r>
            <w:r w:rsidRPr="00120969">
              <w:rPr>
                <w:rFonts w:hint="eastAsia"/>
                <w:szCs w:val="21"/>
                <w:lang w:val="es-PE"/>
              </w:rPr>
              <w:t xml:space="preserve"> Su </w:t>
            </w:r>
            <w:proofErr w:type="spellStart"/>
            <w:r w:rsidRPr="00120969">
              <w:rPr>
                <w:rFonts w:hint="eastAsia"/>
                <w:szCs w:val="21"/>
                <w:lang w:val="es-PE"/>
              </w:rPr>
              <w:t>Mingjie</w:t>
            </w:r>
            <w:proofErr w:type="spellEnd"/>
            <w:r w:rsidRPr="00120969">
              <w:rPr>
                <w:lang w:val="es-PE"/>
              </w:rPr>
              <w:t xml:space="preserve"> );</w:t>
            </w:r>
            <w:r w:rsidR="002B2320">
              <w:fldChar w:fldCharType="end"/>
            </w:r>
            <w:r w:rsidRPr="00120969">
              <w:rPr>
                <w:szCs w:val="21"/>
                <w:lang w:val="es-PE"/>
              </w:rPr>
              <w:t xml:space="preserve"> </w:t>
            </w:r>
          </w:p>
        </w:tc>
      </w:tr>
      <w:tr w:rsidR="002B2320">
        <w:trPr>
          <w:trHeight w:val="2962"/>
        </w:trPr>
        <w:tc>
          <w:tcPr>
            <w:tcW w:w="2229" w:type="dxa"/>
            <w:tcBorders>
              <w:top w:val="single" w:sz="6" w:space="0" w:color="auto"/>
              <w:left w:val="single" w:sz="8" w:space="0" w:color="auto"/>
              <w:bottom w:val="single" w:sz="6" w:space="0" w:color="auto"/>
              <w:right w:val="single" w:sz="6" w:space="0" w:color="auto"/>
            </w:tcBorders>
            <w:vAlign w:val="center"/>
          </w:tcPr>
          <w:p w:rsidR="002B2320" w:rsidRDefault="00EE7E44">
            <w:pPr>
              <w:ind w:rightChars="218" w:right="458"/>
              <w:jc w:val="center"/>
              <w:rPr>
                <w:szCs w:val="21"/>
              </w:rPr>
            </w:pPr>
            <w:r>
              <w:rPr>
                <w:szCs w:val="21"/>
              </w:rPr>
              <w:lastRenderedPageBreak/>
              <w:t xml:space="preserve">About the Organizer </w:t>
            </w:r>
          </w:p>
        </w:tc>
        <w:tc>
          <w:tcPr>
            <w:tcW w:w="7681" w:type="dxa"/>
            <w:gridSpan w:val="7"/>
            <w:tcBorders>
              <w:top w:val="single" w:sz="6" w:space="0" w:color="auto"/>
              <w:left w:val="single" w:sz="6" w:space="0" w:color="auto"/>
              <w:bottom w:val="single" w:sz="6" w:space="0" w:color="auto"/>
              <w:right w:val="single" w:sz="8" w:space="0" w:color="auto"/>
            </w:tcBorders>
            <w:vAlign w:val="center"/>
          </w:tcPr>
          <w:p w:rsidR="002B2320" w:rsidRDefault="00EE7E44">
            <w:pPr>
              <w:adjustRightInd w:val="0"/>
              <w:snapToGrid w:val="0"/>
              <w:spacing w:line="360" w:lineRule="auto"/>
              <w:ind w:firstLineChars="200" w:firstLine="420"/>
            </w:pPr>
            <w:bookmarkStart w:id="10" w:name="OLE_LINK38"/>
            <w:bookmarkStart w:id="11" w:name="OLE_LINK39"/>
            <w:r>
              <w:rPr>
                <w:rFonts w:hint="eastAsia"/>
              </w:rPr>
              <w:t xml:space="preserve">Shanghai </w:t>
            </w:r>
            <w:proofErr w:type="spellStart"/>
            <w:r>
              <w:rPr>
                <w:rFonts w:hint="eastAsia"/>
              </w:rPr>
              <w:t>Fosun</w:t>
            </w:r>
            <w:proofErr w:type="spellEnd"/>
            <w:r>
              <w:rPr>
                <w:rFonts w:hint="eastAsia"/>
              </w:rPr>
              <w:t xml:space="preserve"> Pharmaceutical Development Co., Ltd. is a wholly-owned subsidiary of Shanghai </w:t>
            </w:r>
            <w:proofErr w:type="spellStart"/>
            <w:r>
              <w:rPr>
                <w:rFonts w:hint="eastAsia"/>
              </w:rPr>
              <w:t>Fosun</w:t>
            </w:r>
            <w:proofErr w:type="spellEnd"/>
            <w:r>
              <w:rPr>
                <w:rFonts w:hint="eastAsia"/>
              </w:rPr>
              <w:t xml:space="preserve"> Pharmaceutical (Group) Co., Ltd. specialized in medical R&amp;D, manufacturing and sales. Shanghai </w:t>
            </w:r>
            <w:proofErr w:type="spellStart"/>
            <w:r>
              <w:rPr>
                <w:rFonts w:hint="eastAsia"/>
              </w:rPr>
              <w:t>Fosun</w:t>
            </w:r>
            <w:proofErr w:type="spellEnd"/>
            <w:r>
              <w:rPr>
                <w:rFonts w:hint="eastAsia"/>
              </w:rPr>
              <w:t xml:space="preserve"> Pharmaceutical (Group) Co., Ltd. (</w:t>
            </w:r>
            <w:r>
              <w:rPr>
                <w:rFonts w:hint="eastAsia"/>
              </w:rPr>
              <w:t>“</w:t>
            </w:r>
            <w:bookmarkStart w:id="12" w:name="OLE_LINK9"/>
            <w:proofErr w:type="spellStart"/>
            <w:r>
              <w:rPr>
                <w:rFonts w:hint="eastAsia"/>
              </w:rPr>
              <w:t>FosunPharma</w:t>
            </w:r>
            <w:bookmarkEnd w:id="12"/>
            <w:proofErr w:type="spellEnd"/>
            <w:r>
              <w:rPr>
                <w:rFonts w:hint="eastAsia"/>
              </w:rPr>
              <w:t>”</w:t>
            </w:r>
            <w:r>
              <w:rPr>
                <w:rFonts w:hint="eastAsia"/>
              </w:rPr>
              <w:t>), a leading healthcare company in China</w:t>
            </w:r>
            <w:r>
              <w:rPr>
                <w:rFonts w:hint="eastAsia"/>
              </w:rPr>
              <w:t>，</w:t>
            </w:r>
            <w:r>
              <w:rPr>
                <w:rFonts w:hint="eastAsia"/>
              </w:rPr>
              <w:t>which was established in 1994 ,has been listed on Shanghai Stock Exchange since August 1998 and on the Main Board of the Stock Exchange of Hong Kong Limited.</w:t>
            </w:r>
          </w:p>
          <w:p w:rsidR="002B2320" w:rsidRDefault="00EE7E44">
            <w:pPr>
              <w:adjustRightInd w:val="0"/>
              <w:snapToGrid w:val="0"/>
              <w:spacing w:line="360" w:lineRule="auto"/>
              <w:ind w:firstLineChars="200" w:firstLine="420"/>
            </w:pPr>
            <w:r>
              <w:rPr>
                <w:rFonts w:hint="eastAsia"/>
              </w:rPr>
              <w:t xml:space="preserve">Specializing in modern biopharmaceutical and healthcare industry, </w:t>
            </w:r>
            <w:proofErr w:type="spellStart"/>
            <w:r>
              <w:rPr>
                <w:rFonts w:hint="eastAsia"/>
              </w:rPr>
              <w:t>FosunPharma</w:t>
            </w:r>
            <w:proofErr w:type="spellEnd"/>
            <w:r>
              <w:rPr>
                <w:rFonts w:hint="eastAsia"/>
              </w:rPr>
              <w:t xml:space="preserve"> has captured opportunities within the rapidly developing Chinese healthcare industry as well as from the globalization of Chinese healthcare companies in general. </w:t>
            </w:r>
            <w:proofErr w:type="spellStart"/>
            <w:r>
              <w:rPr>
                <w:rFonts w:hint="eastAsia"/>
              </w:rPr>
              <w:t>FosunPharma's</w:t>
            </w:r>
            <w:proofErr w:type="spellEnd"/>
            <w:r>
              <w:rPr>
                <w:rFonts w:hint="eastAsia"/>
              </w:rPr>
              <w:t xml:space="preserve"> operations strategically cover several important segments of the healthcare industry value-chain, including: pharmaceutical manufacturing, distribution and retail. In particular, the Company has a leading market position and unmatched advantages in pharmaceutical distribution and retail, healthcare services, diagnostic products and medical devices, and maintains a strong focus on research and development, and manufacturing. As one of the largest healthcare companies in China, </w:t>
            </w:r>
            <w:proofErr w:type="spellStart"/>
            <w:r>
              <w:rPr>
                <w:rFonts w:hint="eastAsia"/>
              </w:rPr>
              <w:t>FosunPharma</w:t>
            </w:r>
            <w:proofErr w:type="spellEnd"/>
            <w:r>
              <w:rPr>
                <w:rFonts w:hint="eastAsia"/>
              </w:rPr>
              <w:t xml:space="preserve"> enjoys a competitive advantage in research and development, innovation, marketing, integration of mergers and acquisitions, as well as human resources.</w:t>
            </w:r>
          </w:p>
          <w:p w:rsidR="002B2320" w:rsidRDefault="00EE7E44">
            <w:pPr>
              <w:adjustRightInd w:val="0"/>
              <w:snapToGrid w:val="0"/>
              <w:spacing w:line="360" w:lineRule="auto"/>
              <w:ind w:firstLineChars="200" w:firstLine="420"/>
              <w:rPr>
                <w:color w:val="000000"/>
                <w:szCs w:val="21"/>
              </w:rPr>
            </w:pPr>
            <w:r>
              <w:rPr>
                <w:rFonts w:hint="eastAsia"/>
              </w:rPr>
              <w:t xml:space="preserve">As a result of its focus on innovation, research and development, </w:t>
            </w:r>
            <w:bookmarkStart w:id="13" w:name="OLE_LINK10"/>
            <w:bookmarkStart w:id="14" w:name="OLE_LINK11"/>
            <w:r>
              <w:rPr>
                <w:rFonts w:hint="eastAsia"/>
              </w:rPr>
              <w:t xml:space="preserve">Shanghai </w:t>
            </w:r>
            <w:proofErr w:type="spellStart"/>
            <w:r>
              <w:rPr>
                <w:rFonts w:hint="eastAsia"/>
              </w:rPr>
              <w:t>Fosun</w:t>
            </w:r>
            <w:proofErr w:type="spellEnd"/>
            <w:r>
              <w:rPr>
                <w:rFonts w:hint="eastAsia"/>
              </w:rPr>
              <w:t xml:space="preserve"> Pharmaceutical Development Co., </w:t>
            </w:r>
            <w:proofErr w:type="spellStart"/>
            <w:r>
              <w:rPr>
                <w:rFonts w:hint="eastAsia"/>
              </w:rPr>
              <w:t>Ltd.</w:t>
            </w:r>
            <w:bookmarkEnd w:id="13"/>
            <w:bookmarkEnd w:id="14"/>
            <w:r>
              <w:rPr>
                <w:rFonts w:hint="eastAsia"/>
              </w:rPr>
              <w:t>maintains</w:t>
            </w:r>
            <w:proofErr w:type="spellEnd"/>
            <w:r>
              <w:rPr>
                <w:rFonts w:hint="eastAsia"/>
              </w:rPr>
              <w:t xml:space="preserve"> a highly capable international R&amp;D team with operations in Shanghai and Chongqing and United States in addition to its National Recognized Enterprise Technology Centre. </w:t>
            </w:r>
            <w:proofErr w:type="spellStart"/>
            <w:r>
              <w:rPr>
                <w:rFonts w:hint="eastAsia"/>
              </w:rPr>
              <w:t>FosunPharma's</w:t>
            </w:r>
            <w:proofErr w:type="spellEnd"/>
            <w:r>
              <w:rPr>
                <w:rFonts w:hint="eastAsia"/>
              </w:rPr>
              <w:t xml:space="preserve"> research and development activities cover therapeutic areas such as metabolism and alimentary tract, the cardiovascular system, anti-</w:t>
            </w:r>
            <w:proofErr w:type="spellStart"/>
            <w:r>
              <w:rPr>
                <w:rFonts w:hint="eastAsia"/>
              </w:rPr>
              <w:t>tumor</w:t>
            </w:r>
            <w:proofErr w:type="gramStart"/>
            <w:r>
              <w:rPr>
                <w:rFonts w:hint="eastAsia"/>
              </w:rPr>
              <w:t>,central</w:t>
            </w:r>
            <w:proofErr w:type="spellEnd"/>
            <w:proofErr w:type="gramEnd"/>
            <w:r>
              <w:rPr>
                <w:rFonts w:hint="eastAsia"/>
              </w:rPr>
              <w:t xml:space="preserve"> nervous system and anti-infective drug. </w:t>
            </w:r>
            <w:proofErr w:type="spellStart"/>
            <w:r>
              <w:rPr>
                <w:rFonts w:hint="eastAsia"/>
              </w:rPr>
              <w:t>FosunPharmais</w:t>
            </w:r>
            <w:proofErr w:type="spellEnd"/>
            <w:r>
              <w:rPr>
                <w:rFonts w:hint="eastAsia"/>
              </w:rPr>
              <w:t xml:space="preserve"> the global leader in    anti-malaria, and has a competitive advantage in </w:t>
            </w:r>
            <w:proofErr w:type="spellStart"/>
            <w:r>
              <w:rPr>
                <w:rFonts w:hint="eastAsia"/>
              </w:rPr>
              <w:t>theliver</w:t>
            </w:r>
            <w:proofErr w:type="spellEnd"/>
            <w:r>
              <w:rPr>
                <w:rFonts w:hint="eastAsia"/>
              </w:rPr>
              <w:t xml:space="preserve"> diseases, diabetes, tuberculosis and diagnostic product in China.</w:t>
            </w:r>
            <w:bookmarkEnd w:id="10"/>
            <w:bookmarkEnd w:id="11"/>
          </w:p>
        </w:tc>
      </w:tr>
      <w:tr w:rsidR="002B2320">
        <w:trPr>
          <w:trHeight w:val="3856"/>
        </w:trPr>
        <w:tc>
          <w:tcPr>
            <w:tcW w:w="2229" w:type="dxa"/>
            <w:tcBorders>
              <w:top w:val="single" w:sz="6" w:space="0" w:color="auto"/>
              <w:left w:val="single" w:sz="8" w:space="0" w:color="auto"/>
              <w:bottom w:val="single" w:sz="8" w:space="0" w:color="auto"/>
              <w:right w:val="single" w:sz="6" w:space="0" w:color="auto"/>
            </w:tcBorders>
            <w:vAlign w:val="center"/>
          </w:tcPr>
          <w:p w:rsidR="002B2320" w:rsidRDefault="00EE7E44">
            <w:pPr>
              <w:ind w:rightChars="218" w:right="458"/>
              <w:jc w:val="center"/>
              <w:rPr>
                <w:szCs w:val="21"/>
              </w:rPr>
            </w:pPr>
            <w:r>
              <w:rPr>
                <w:rFonts w:hint="eastAsia"/>
                <w:szCs w:val="21"/>
              </w:rPr>
              <w:t>Seminar</w:t>
            </w:r>
            <w:r>
              <w:rPr>
                <w:szCs w:val="21"/>
              </w:rPr>
              <w:t xml:space="preserve"> Content</w:t>
            </w:r>
          </w:p>
        </w:tc>
        <w:tc>
          <w:tcPr>
            <w:tcW w:w="7681" w:type="dxa"/>
            <w:gridSpan w:val="7"/>
            <w:tcBorders>
              <w:top w:val="single" w:sz="6" w:space="0" w:color="auto"/>
              <w:left w:val="single" w:sz="6" w:space="0" w:color="auto"/>
              <w:bottom w:val="single" w:sz="8" w:space="0" w:color="auto"/>
              <w:right w:val="single" w:sz="8" w:space="0" w:color="auto"/>
            </w:tcBorders>
            <w:vAlign w:val="center"/>
          </w:tcPr>
          <w:p w:rsidR="002B2320" w:rsidRDefault="00EE7E44">
            <w:pPr>
              <w:adjustRightInd w:val="0"/>
              <w:snapToGrid w:val="0"/>
              <w:spacing w:line="360" w:lineRule="auto"/>
              <w:ind w:firstLineChars="200" w:firstLine="420"/>
            </w:pPr>
            <w:bookmarkStart w:id="15" w:name="OLE_LINK12"/>
            <w:bookmarkStart w:id="16" w:name="OLE_LINK13"/>
            <w:r>
              <w:rPr>
                <w:rFonts w:hint="eastAsia"/>
              </w:rPr>
              <w:t xml:space="preserve">Shanghai </w:t>
            </w:r>
            <w:proofErr w:type="spellStart"/>
            <w:r>
              <w:rPr>
                <w:rFonts w:hint="eastAsia"/>
              </w:rPr>
              <w:t>Fosun</w:t>
            </w:r>
            <w:proofErr w:type="spellEnd"/>
            <w:r>
              <w:rPr>
                <w:rFonts w:hint="eastAsia"/>
              </w:rPr>
              <w:t xml:space="preserve"> Pharmaceutical Development Co., Ltd. will organize </w:t>
            </w:r>
            <w:r>
              <w:rPr>
                <w:rFonts w:hint="eastAsia"/>
              </w:rPr>
              <w:t>“</w:t>
            </w:r>
            <w:r>
              <w:rPr>
                <w:rFonts w:hint="eastAsia"/>
              </w:rPr>
              <w:t>2017 Minister-level Seminar on Pharmaceutical Supervision and Management for Developing Countries</w:t>
            </w:r>
            <w:r>
              <w:rPr>
                <w:rFonts w:hint="eastAsia"/>
              </w:rPr>
              <w:t>”</w:t>
            </w:r>
            <w:r>
              <w:rPr>
                <w:rFonts w:hint="eastAsia"/>
              </w:rPr>
              <w:t xml:space="preserve"> in China. It is authorized by Ministry of Commerce of the People</w:t>
            </w:r>
            <w:r>
              <w:rPr>
                <w:rFonts w:hint="eastAsia"/>
              </w:rPr>
              <w:t>’</w:t>
            </w:r>
            <w:r>
              <w:rPr>
                <w:rFonts w:hint="eastAsia"/>
              </w:rPr>
              <w:t xml:space="preserve">s Republic of China (MOFCOM). The seminar will be held on July 12 to July 18, for 7 days. </w:t>
            </w:r>
          </w:p>
          <w:p w:rsidR="002B2320" w:rsidRDefault="00EE7E44">
            <w:pPr>
              <w:adjustRightInd w:val="0"/>
              <w:snapToGrid w:val="0"/>
              <w:spacing w:line="360" w:lineRule="auto"/>
              <w:ind w:firstLineChars="200" w:firstLine="420"/>
              <w:rPr>
                <w:szCs w:val="21"/>
              </w:rPr>
            </w:pPr>
            <w:r>
              <w:rPr>
                <w:rFonts w:hint="eastAsia"/>
              </w:rPr>
              <w:t>The Seminar includes lectures, discussion and onsite visiting. We will invite Chinese experts and government officials to introduce such as drug registration and post-marketing surveillance, drug inspection system and quality standard, traditional medicine development and trend, adverse drug reaction monitoring and rational drug use, Chinese drug fast inspection technology, etc. Meanwhile, we will arrange the participants to visit Shanghai</w:t>
            </w:r>
            <w:bookmarkEnd w:id="15"/>
            <w:bookmarkEnd w:id="16"/>
            <w:r>
              <w:rPr>
                <w:rFonts w:hint="eastAsia"/>
              </w:rPr>
              <w:t xml:space="preserve"> to fully understand the development trend of China's drug regulatory, ascending consensus, promote cooperation.</w:t>
            </w:r>
          </w:p>
        </w:tc>
      </w:tr>
    </w:tbl>
    <w:p w:rsidR="002B2320" w:rsidRDefault="002B2320">
      <w:pPr>
        <w:spacing w:line="320" w:lineRule="exact"/>
        <w:rPr>
          <w:rFonts w:ascii="FangSong_GB2312" w:eastAsia="FangSong_GB2312"/>
          <w:sz w:val="32"/>
          <w:szCs w:val="32"/>
        </w:rPr>
      </w:pPr>
    </w:p>
    <w:sectPr w:rsidR="002B2320" w:rsidSect="002B2320">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91" w:rsidRPr="0044626A" w:rsidRDefault="00320091" w:rsidP="002B2320">
      <w:pPr>
        <w:rPr>
          <w:rFonts w:eastAsia="SimHei"/>
          <w:sz w:val="32"/>
          <w:szCs w:val="32"/>
        </w:rPr>
      </w:pPr>
      <w:r>
        <w:separator/>
      </w:r>
    </w:p>
  </w:endnote>
  <w:endnote w:type="continuationSeparator" w:id="0">
    <w:p w:rsidR="00320091" w:rsidRPr="0044626A" w:rsidRDefault="00320091" w:rsidP="002B2320">
      <w:pPr>
        <w:rPr>
          <w:rFonts w:eastAsia="SimHei"/>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91" w:rsidRPr="0044626A" w:rsidRDefault="00320091" w:rsidP="002B2320">
      <w:pPr>
        <w:rPr>
          <w:rFonts w:eastAsia="SimHei"/>
          <w:sz w:val="32"/>
          <w:szCs w:val="32"/>
        </w:rPr>
      </w:pPr>
      <w:r>
        <w:separator/>
      </w:r>
    </w:p>
  </w:footnote>
  <w:footnote w:type="continuationSeparator" w:id="0">
    <w:p w:rsidR="00320091" w:rsidRPr="0044626A" w:rsidRDefault="00320091" w:rsidP="002B2320">
      <w:pPr>
        <w:rPr>
          <w:rFonts w:eastAsia="SimHei"/>
          <w:sz w:val="32"/>
          <w:szCs w:val="3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320" w:rsidRDefault="002B2320">
    <w:pPr>
      <w:pStyle w:val="Encabezado"/>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459"/>
    <w:rsid w:val="00061477"/>
    <w:rsid w:val="00062E1B"/>
    <w:rsid w:val="00077596"/>
    <w:rsid w:val="000B1726"/>
    <w:rsid w:val="000B68A2"/>
    <w:rsid w:val="000C6A1A"/>
    <w:rsid w:val="000D7AA0"/>
    <w:rsid w:val="00120969"/>
    <w:rsid w:val="001437FD"/>
    <w:rsid w:val="0014504A"/>
    <w:rsid w:val="00154C38"/>
    <w:rsid w:val="00172A27"/>
    <w:rsid w:val="001B5957"/>
    <w:rsid w:val="001C159E"/>
    <w:rsid w:val="001D5469"/>
    <w:rsid w:val="001F4E60"/>
    <w:rsid w:val="002006E8"/>
    <w:rsid w:val="002266C4"/>
    <w:rsid w:val="00275909"/>
    <w:rsid w:val="00286E81"/>
    <w:rsid w:val="0028703D"/>
    <w:rsid w:val="00290A5F"/>
    <w:rsid w:val="002B2320"/>
    <w:rsid w:val="002D5E24"/>
    <w:rsid w:val="00307BAA"/>
    <w:rsid w:val="00313F6E"/>
    <w:rsid w:val="00320091"/>
    <w:rsid w:val="003534D3"/>
    <w:rsid w:val="0035496F"/>
    <w:rsid w:val="003618D0"/>
    <w:rsid w:val="00371A15"/>
    <w:rsid w:val="00377C71"/>
    <w:rsid w:val="003D03BD"/>
    <w:rsid w:val="00437486"/>
    <w:rsid w:val="00472990"/>
    <w:rsid w:val="00472E1F"/>
    <w:rsid w:val="004866C3"/>
    <w:rsid w:val="004B5D8C"/>
    <w:rsid w:val="00500C4B"/>
    <w:rsid w:val="005222CA"/>
    <w:rsid w:val="00563D03"/>
    <w:rsid w:val="005658C1"/>
    <w:rsid w:val="00597279"/>
    <w:rsid w:val="005C476F"/>
    <w:rsid w:val="006167B0"/>
    <w:rsid w:val="00650C7F"/>
    <w:rsid w:val="00661989"/>
    <w:rsid w:val="00683114"/>
    <w:rsid w:val="006D02ED"/>
    <w:rsid w:val="006E1480"/>
    <w:rsid w:val="00714B45"/>
    <w:rsid w:val="00737666"/>
    <w:rsid w:val="007713AC"/>
    <w:rsid w:val="00776B83"/>
    <w:rsid w:val="007B4768"/>
    <w:rsid w:val="007E6323"/>
    <w:rsid w:val="008012F7"/>
    <w:rsid w:val="00825638"/>
    <w:rsid w:val="0082730C"/>
    <w:rsid w:val="008372A0"/>
    <w:rsid w:val="008554FC"/>
    <w:rsid w:val="00901BDF"/>
    <w:rsid w:val="00911FBC"/>
    <w:rsid w:val="00917938"/>
    <w:rsid w:val="00941775"/>
    <w:rsid w:val="00970F99"/>
    <w:rsid w:val="009A4095"/>
    <w:rsid w:val="009B30DE"/>
    <w:rsid w:val="009B62A1"/>
    <w:rsid w:val="009D10A9"/>
    <w:rsid w:val="00A0457B"/>
    <w:rsid w:val="00A07FD7"/>
    <w:rsid w:val="00A1598D"/>
    <w:rsid w:val="00A459D1"/>
    <w:rsid w:val="00A76AE3"/>
    <w:rsid w:val="00AD5DA2"/>
    <w:rsid w:val="00AD6E78"/>
    <w:rsid w:val="00B042CF"/>
    <w:rsid w:val="00B13876"/>
    <w:rsid w:val="00B508E1"/>
    <w:rsid w:val="00B63BDD"/>
    <w:rsid w:val="00B870D9"/>
    <w:rsid w:val="00C30FCD"/>
    <w:rsid w:val="00C4295A"/>
    <w:rsid w:val="00C82CB0"/>
    <w:rsid w:val="00C85D9D"/>
    <w:rsid w:val="00C87641"/>
    <w:rsid w:val="00CA2634"/>
    <w:rsid w:val="00CF255D"/>
    <w:rsid w:val="00D11DA7"/>
    <w:rsid w:val="00D22442"/>
    <w:rsid w:val="00D22D50"/>
    <w:rsid w:val="00D4478C"/>
    <w:rsid w:val="00D51829"/>
    <w:rsid w:val="00DB7189"/>
    <w:rsid w:val="00DC6282"/>
    <w:rsid w:val="00DD2CA2"/>
    <w:rsid w:val="00DD68F0"/>
    <w:rsid w:val="00DD7FEE"/>
    <w:rsid w:val="00DF506D"/>
    <w:rsid w:val="00E165E2"/>
    <w:rsid w:val="00E70CAB"/>
    <w:rsid w:val="00E74A14"/>
    <w:rsid w:val="00E81258"/>
    <w:rsid w:val="00E97F7D"/>
    <w:rsid w:val="00EB53CC"/>
    <w:rsid w:val="00EC4EFA"/>
    <w:rsid w:val="00EE7E44"/>
    <w:rsid w:val="00F00C11"/>
    <w:rsid w:val="00F059E9"/>
    <w:rsid w:val="00F37F4E"/>
    <w:rsid w:val="00F5514B"/>
    <w:rsid w:val="00F826DD"/>
    <w:rsid w:val="38AC11BA"/>
    <w:rsid w:val="45EF580B"/>
    <w:rsid w:val="4C5F65A4"/>
    <w:rsid w:val="528E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320"/>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rsid w:val="002B2320"/>
    <w:rPr>
      <w:b/>
      <w:bCs/>
    </w:rPr>
  </w:style>
  <w:style w:type="paragraph" w:styleId="Textocomentario">
    <w:name w:val="annotation text"/>
    <w:basedOn w:val="Normal"/>
    <w:link w:val="TextocomentarioCar"/>
    <w:qFormat/>
    <w:rsid w:val="002B2320"/>
    <w:pPr>
      <w:jc w:val="left"/>
    </w:pPr>
  </w:style>
  <w:style w:type="paragraph" w:styleId="Fecha">
    <w:name w:val="Date"/>
    <w:basedOn w:val="Normal"/>
    <w:next w:val="Normal"/>
    <w:link w:val="FechaCar"/>
    <w:qFormat/>
    <w:rsid w:val="002B2320"/>
    <w:pPr>
      <w:ind w:leftChars="2500" w:left="100"/>
    </w:pPr>
  </w:style>
  <w:style w:type="paragraph" w:styleId="Textodeglobo">
    <w:name w:val="Balloon Text"/>
    <w:basedOn w:val="Normal"/>
    <w:link w:val="TextodegloboCar"/>
    <w:qFormat/>
    <w:rsid w:val="002B2320"/>
    <w:rPr>
      <w:sz w:val="18"/>
      <w:szCs w:val="18"/>
    </w:rPr>
  </w:style>
  <w:style w:type="paragraph" w:styleId="Piedepgina">
    <w:name w:val="footer"/>
    <w:basedOn w:val="Normal"/>
    <w:qFormat/>
    <w:rsid w:val="002B2320"/>
    <w:pPr>
      <w:tabs>
        <w:tab w:val="center" w:pos="4153"/>
        <w:tab w:val="right" w:pos="8306"/>
      </w:tabs>
      <w:snapToGrid w:val="0"/>
      <w:jc w:val="left"/>
    </w:pPr>
    <w:rPr>
      <w:sz w:val="18"/>
      <w:szCs w:val="18"/>
    </w:rPr>
  </w:style>
  <w:style w:type="paragraph" w:styleId="Encabezado">
    <w:name w:val="header"/>
    <w:basedOn w:val="Normal"/>
    <w:qFormat/>
    <w:rsid w:val="002B2320"/>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rsid w:val="002B2320"/>
    <w:pPr>
      <w:widowControl/>
      <w:jc w:val="left"/>
    </w:pPr>
    <w:rPr>
      <w:rFonts w:ascii="SimSun" w:hAnsi="SimSun" w:cs="SimSun"/>
      <w:kern w:val="0"/>
      <w:sz w:val="24"/>
    </w:rPr>
  </w:style>
  <w:style w:type="character" w:styleId="nfasis">
    <w:name w:val="Emphasis"/>
    <w:qFormat/>
    <w:rsid w:val="002B2320"/>
    <w:rPr>
      <w:i/>
      <w:iCs/>
    </w:rPr>
  </w:style>
  <w:style w:type="character" w:styleId="Hipervnculo">
    <w:name w:val="Hyperlink"/>
    <w:qFormat/>
    <w:rsid w:val="002B2320"/>
    <w:rPr>
      <w:color w:val="42414A"/>
      <w:u w:val="none"/>
    </w:rPr>
  </w:style>
  <w:style w:type="character" w:styleId="Refdecomentario">
    <w:name w:val="annotation reference"/>
    <w:qFormat/>
    <w:rsid w:val="002B2320"/>
    <w:rPr>
      <w:sz w:val="21"/>
      <w:szCs w:val="21"/>
    </w:rPr>
  </w:style>
  <w:style w:type="character" w:customStyle="1" w:styleId="FechaCar">
    <w:name w:val="Fecha Car"/>
    <w:link w:val="Fecha"/>
    <w:qFormat/>
    <w:rsid w:val="002B2320"/>
    <w:rPr>
      <w:kern w:val="2"/>
      <w:sz w:val="21"/>
      <w:szCs w:val="24"/>
    </w:rPr>
  </w:style>
  <w:style w:type="character" w:customStyle="1" w:styleId="TextocomentarioCar">
    <w:name w:val="Texto comentario Car"/>
    <w:link w:val="Textocomentario"/>
    <w:qFormat/>
    <w:rsid w:val="002B2320"/>
    <w:rPr>
      <w:kern w:val="2"/>
      <w:sz w:val="21"/>
      <w:szCs w:val="24"/>
    </w:rPr>
  </w:style>
  <w:style w:type="character" w:customStyle="1" w:styleId="AsuntodelcomentarioCar">
    <w:name w:val="Asunto del comentario Car"/>
    <w:link w:val="Asuntodelcomentario"/>
    <w:qFormat/>
    <w:rsid w:val="002B2320"/>
    <w:rPr>
      <w:b/>
      <w:bCs/>
      <w:kern w:val="2"/>
      <w:sz w:val="21"/>
      <w:szCs w:val="24"/>
    </w:rPr>
  </w:style>
  <w:style w:type="character" w:customStyle="1" w:styleId="TextodegloboCar">
    <w:name w:val="Texto de globo Car"/>
    <w:link w:val="Textodeglobo"/>
    <w:qFormat/>
    <w:rsid w:val="002B23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320"/>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rsid w:val="002B2320"/>
    <w:rPr>
      <w:b/>
      <w:bCs/>
    </w:rPr>
  </w:style>
  <w:style w:type="paragraph" w:styleId="Textocomentario">
    <w:name w:val="annotation text"/>
    <w:basedOn w:val="Normal"/>
    <w:link w:val="TextocomentarioCar"/>
    <w:qFormat/>
    <w:rsid w:val="002B2320"/>
    <w:pPr>
      <w:jc w:val="left"/>
    </w:pPr>
  </w:style>
  <w:style w:type="paragraph" w:styleId="Fecha">
    <w:name w:val="Date"/>
    <w:basedOn w:val="Normal"/>
    <w:next w:val="Normal"/>
    <w:link w:val="FechaCar"/>
    <w:qFormat/>
    <w:rsid w:val="002B2320"/>
    <w:pPr>
      <w:ind w:leftChars="2500" w:left="100"/>
    </w:pPr>
  </w:style>
  <w:style w:type="paragraph" w:styleId="Textodeglobo">
    <w:name w:val="Balloon Text"/>
    <w:basedOn w:val="Normal"/>
    <w:link w:val="TextodegloboCar"/>
    <w:qFormat/>
    <w:rsid w:val="002B2320"/>
    <w:rPr>
      <w:sz w:val="18"/>
      <w:szCs w:val="18"/>
    </w:rPr>
  </w:style>
  <w:style w:type="paragraph" w:styleId="Piedepgina">
    <w:name w:val="footer"/>
    <w:basedOn w:val="Normal"/>
    <w:qFormat/>
    <w:rsid w:val="002B2320"/>
    <w:pPr>
      <w:tabs>
        <w:tab w:val="center" w:pos="4153"/>
        <w:tab w:val="right" w:pos="8306"/>
      </w:tabs>
      <w:snapToGrid w:val="0"/>
      <w:jc w:val="left"/>
    </w:pPr>
    <w:rPr>
      <w:sz w:val="18"/>
      <w:szCs w:val="18"/>
    </w:rPr>
  </w:style>
  <w:style w:type="paragraph" w:styleId="Encabezado">
    <w:name w:val="header"/>
    <w:basedOn w:val="Normal"/>
    <w:qFormat/>
    <w:rsid w:val="002B2320"/>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rsid w:val="002B2320"/>
    <w:pPr>
      <w:widowControl/>
      <w:jc w:val="left"/>
    </w:pPr>
    <w:rPr>
      <w:rFonts w:ascii="SimSun" w:hAnsi="SimSun" w:cs="SimSun"/>
      <w:kern w:val="0"/>
      <w:sz w:val="24"/>
    </w:rPr>
  </w:style>
  <w:style w:type="character" w:styleId="nfasis">
    <w:name w:val="Emphasis"/>
    <w:qFormat/>
    <w:rsid w:val="002B2320"/>
    <w:rPr>
      <w:i/>
      <w:iCs/>
    </w:rPr>
  </w:style>
  <w:style w:type="character" w:styleId="Hipervnculo">
    <w:name w:val="Hyperlink"/>
    <w:qFormat/>
    <w:rsid w:val="002B2320"/>
    <w:rPr>
      <w:color w:val="42414A"/>
      <w:u w:val="none"/>
    </w:rPr>
  </w:style>
  <w:style w:type="character" w:styleId="Refdecomentario">
    <w:name w:val="annotation reference"/>
    <w:qFormat/>
    <w:rsid w:val="002B2320"/>
    <w:rPr>
      <w:sz w:val="21"/>
      <w:szCs w:val="21"/>
    </w:rPr>
  </w:style>
  <w:style w:type="character" w:customStyle="1" w:styleId="FechaCar">
    <w:name w:val="Fecha Car"/>
    <w:link w:val="Fecha"/>
    <w:qFormat/>
    <w:rsid w:val="002B2320"/>
    <w:rPr>
      <w:kern w:val="2"/>
      <w:sz w:val="21"/>
      <w:szCs w:val="24"/>
    </w:rPr>
  </w:style>
  <w:style w:type="character" w:customStyle="1" w:styleId="TextocomentarioCar">
    <w:name w:val="Texto comentario Car"/>
    <w:link w:val="Textocomentario"/>
    <w:qFormat/>
    <w:rsid w:val="002B2320"/>
    <w:rPr>
      <w:kern w:val="2"/>
      <w:sz w:val="21"/>
      <w:szCs w:val="24"/>
    </w:rPr>
  </w:style>
  <w:style w:type="character" w:customStyle="1" w:styleId="AsuntodelcomentarioCar">
    <w:name w:val="Asunto del comentario Car"/>
    <w:link w:val="Asuntodelcomentario"/>
    <w:qFormat/>
    <w:rsid w:val="002B2320"/>
    <w:rPr>
      <w:b/>
      <w:bCs/>
      <w:kern w:val="2"/>
      <w:sz w:val="21"/>
      <w:szCs w:val="24"/>
    </w:rPr>
  </w:style>
  <w:style w:type="character" w:customStyle="1" w:styleId="TextodegloboCar">
    <w:name w:val="Texto de globo Car"/>
    <w:link w:val="Textodeglobo"/>
    <w:qFormat/>
    <w:rsid w:val="002B23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5200lingzi@sina.com(O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关于发展中国家可再生能源技术培训班项目简介事</vt:lpstr>
    </vt:vector>
  </TitlesOfParts>
  <Company>微软中国</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关于发展中国家可再生能源技术培训班项目简介事</dc:title>
  <dc:creator>微软用户</dc:creator>
  <cp:lastModifiedBy>Monica Ramirez Molina</cp:lastModifiedBy>
  <cp:revision>2</cp:revision>
  <cp:lastPrinted>2017-04-18T02:06:00Z</cp:lastPrinted>
  <dcterms:created xsi:type="dcterms:W3CDTF">2017-04-28T13:54:00Z</dcterms:created>
  <dcterms:modified xsi:type="dcterms:W3CDTF">2017-04-28T13:54:00Z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