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A4" w:rsidRPr="00347F24" w:rsidRDefault="005C63A4" w:rsidP="006466B4">
      <w:pPr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bookmarkStart w:id="0" w:name="_GoBack"/>
      <w:bookmarkEnd w:id="0"/>
      <w:r w:rsidRPr="00347F2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“</w:t>
      </w:r>
      <w:r w:rsidR="007B22DA" w:rsidRPr="00347F2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Administración de la Atención Médica en Desastres para Países Latinoamericanos</w:t>
      </w:r>
      <w:r w:rsidR="00187E55" w:rsidRPr="00347F2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”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347F24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Detalles del curso: 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7F24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:rsidR="005C63A4" w:rsidRPr="00347F24" w:rsidRDefault="005C63A4" w:rsidP="00486F39">
      <w:pPr>
        <w:tabs>
          <w:tab w:val="left" w:pos="2410"/>
        </w:tabs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>Período en Japón:</w:t>
      </w: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ab/>
      </w:r>
      <w:r w:rsidR="007B22DA" w:rsidRPr="00347F24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>Del 19 de septiembre al 05 de noviemb</w:t>
      </w:r>
      <w:r w:rsidR="00187E55" w:rsidRPr="00347F24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>re</w:t>
      </w:r>
      <w:r w:rsidRPr="00347F24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 xml:space="preserve"> de 2016</w:t>
      </w:r>
    </w:p>
    <w:p w:rsidR="005C63A4" w:rsidRPr="00347F24" w:rsidRDefault="000D31EC" w:rsidP="000D31EC">
      <w:pPr>
        <w:ind w:left="2415" w:hanging="2415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>Idioma:</w:t>
      </w: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ab/>
      </w:r>
      <w:r w:rsidR="005C63A4" w:rsidRPr="00347F24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 xml:space="preserve">Español </w:t>
      </w:r>
    </w:p>
    <w:p w:rsidR="005C63A4" w:rsidRPr="00347F24" w:rsidRDefault="00486F39" w:rsidP="000D31EC">
      <w:pPr>
        <w:ind w:left="2410" w:hanging="2410"/>
        <w:jc w:val="both"/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347F24">
        <w:rPr>
          <w:rStyle w:val="Textoennegrita"/>
          <w:rFonts w:asciiTheme="minorHAnsi" w:hAnsiTheme="minorHAnsi" w:cstheme="minorHAnsi"/>
          <w:b w:val="0"/>
          <w:color w:val="auto"/>
          <w:sz w:val="22"/>
          <w:szCs w:val="22"/>
          <w:lang w:val="es-PE"/>
        </w:rPr>
        <w:t xml:space="preserve">Calificaciones esenciales: </w:t>
      </w:r>
      <w:r w:rsidR="000D31EC" w:rsidRPr="00347F24">
        <w:rPr>
          <w:rStyle w:val="Textoennegrita"/>
          <w:rFonts w:asciiTheme="minorHAnsi" w:hAnsiTheme="minorHAnsi" w:cstheme="minorHAnsi"/>
          <w:b w:val="0"/>
          <w:color w:val="auto"/>
          <w:sz w:val="22"/>
          <w:szCs w:val="22"/>
          <w:lang w:val="es-PE"/>
        </w:rPr>
        <w:tab/>
      </w:r>
      <w:r w:rsidR="00D607DC" w:rsidRPr="00347F24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>Deben ser funcionarios responsables de atención médica de las instituciones del gobierno central o  gobiernos locales, o personas que brindan servicios médicos en situaciones de desastres, entre ellos, médicos, enfermeros, paramédicos que laboren en las instituciones de atención médica de emergencia.</w:t>
      </w:r>
    </w:p>
    <w:p w:rsidR="00187E55" w:rsidRPr="00347F24" w:rsidRDefault="00187E55" w:rsidP="00187E55">
      <w:pPr>
        <w:ind w:left="2415" w:hanging="2415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>Experiencia:</w:t>
      </w: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ab/>
      </w:r>
      <w:r w:rsidR="00D607DC" w:rsidRPr="00347F24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>Contar con más de 2 años  de experiencia laboral práctica.</w:t>
      </w:r>
    </w:p>
    <w:p w:rsidR="001C2083" w:rsidRPr="00347F24" w:rsidRDefault="00D607DC" w:rsidP="00187E55">
      <w:pPr>
        <w:ind w:left="2415" w:hanging="2415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>Nivel Académico:</w:t>
      </w:r>
      <w:r w:rsidR="001C2083" w:rsidRPr="00347F24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ab/>
      </w:r>
      <w:r w:rsidRPr="00347F24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>Ser graduados de universidad, escuela universitaria o equivalente.</w:t>
      </w:r>
    </w:p>
    <w:p w:rsidR="00187E55" w:rsidRPr="00347F24" w:rsidRDefault="00187E55" w:rsidP="00187E55">
      <w:pPr>
        <w:jc w:val="both"/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347F24">
        <w:rPr>
          <w:rStyle w:val="Textoennegrita"/>
          <w:rFonts w:asciiTheme="minorHAnsi" w:hAnsiTheme="minorHAnsi" w:cstheme="minorHAnsi"/>
          <w:b w:val="0"/>
          <w:bCs w:val="0"/>
          <w:color w:val="auto"/>
          <w:sz w:val="22"/>
          <w:szCs w:val="22"/>
          <w:lang w:val="es-PE"/>
        </w:rPr>
        <w:t>Edad:</w:t>
      </w:r>
      <w:r w:rsidRPr="00347F24">
        <w:rPr>
          <w:rStyle w:val="Textoennegrita"/>
          <w:rFonts w:asciiTheme="minorHAnsi" w:hAnsiTheme="minorHAnsi" w:cstheme="minorHAnsi"/>
          <w:b w:val="0"/>
          <w:bCs w:val="0"/>
          <w:color w:val="auto"/>
          <w:sz w:val="22"/>
          <w:szCs w:val="22"/>
          <w:lang w:val="es-PE"/>
        </w:rPr>
        <w:tab/>
      </w:r>
      <w:r w:rsidRPr="00347F24">
        <w:rPr>
          <w:rStyle w:val="Textoennegrita"/>
          <w:rFonts w:asciiTheme="minorHAnsi" w:hAnsiTheme="minorHAnsi" w:cstheme="minorHAnsi"/>
          <w:b w:val="0"/>
          <w:bCs w:val="0"/>
          <w:color w:val="auto"/>
          <w:sz w:val="22"/>
          <w:szCs w:val="22"/>
          <w:lang w:val="es-PE"/>
        </w:rPr>
        <w:tab/>
      </w:r>
      <w:r w:rsidRPr="00347F24">
        <w:rPr>
          <w:rStyle w:val="Textoennegrita"/>
          <w:rFonts w:asciiTheme="minorHAnsi" w:hAnsiTheme="minorHAnsi" w:cstheme="minorHAnsi"/>
          <w:b w:val="0"/>
          <w:bCs w:val="0"/>
          <w:color w:val="auto"/>
          <w:sz w:val="22"/>
          <w:szCs w:val="22"/>
          <w:lang w:val="es-PE"/>
        </w:rPr>
        <w:tab/>
        <w:t xml:space="preserve">      </w:t>
      </w:r>
      <w:r w:rsidR="00D607DC" w:rsidRPr="00347F24">
        <w:rPr>
          <w:rStyle w:val="Textoennegrita"/>
          <w:rFonts w:asciiTheme="minorHAnsi" w:hAnsiTheme="minorHAnsi" w:cstheme="minorHAnsi"/>
          <w:bCs w:val="0"/>
          <w:color w:val="auto"/>
          <w:sz w:val="22"/>
          <w:szCs w:val="22"/>
          <w:lang w:val="es-PE"/>
        </w:rPr>
        <w:t>Entre de 25 y 50</w:t>
      </w:r>
      <w:r w:rsidRPr="00347F24">
        <w:rPr>
          <w:rStyle w:val="Textoennegrita"/>
          <w:rFonts w:asciiTheme="minorHAnsi" w:hAnsiTheme="minorHAnsi" w:cstheme="minorHAnsi"/>
          <w:bCs w:val="0"/>
          <w:color w:val="auto"/>
          <w:sz w:val="22"/>
          <w:szCs w:val="22"/>
          <w:lang w:val="es-PE"/>
        </w:rPr>
        <w:t xml:space="preserve"> años</w:t>
      </w:r>
      <w:r w:rsidR="00D607DC" w:rsidRPr="00347F24">
        <w:rPr>
          <w:rStyle w:val="Textoennegrita"/>
          <w:rFonts w:asciiTheme="minorHAnsi" w:hAnsiTheme="minorHAnsi" w:cstheme="minorHAnsi"/>
          <w:bCs w:val="0"/>
          <w:color w:val="auto"/>
          <w:sz w:val="22"/>
          <w:szCs w:val="22"/>
          <w:lang w:val="es-PE"/>
        </w:rPr>
        <w:t xml:space="preserve"> de edad</w:t>
      </w:r>
      <w:r w:rsidRPr="00347F24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 xml:space="preserve"> (de preferencia, no excluyente)</w:t>
      </w:r>
    </w:p>
    <w:p w:rsidR="00187E55" w:rsidRPr="00347F24" w:rsidRDefault="00347F24" w:rsidP="00187E55">
      <w:pPr>
        <w:ind w:left="2415" w:hanging="2415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>Inglés:</w:t>
      </w:r>
      <w:r w:rsidRPr="00347F24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 xml:space="preserve"> </w:t>
      </w:r>
      <w:r w:rsidRPr="00347F24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ab/>
        <w:t xml:space="preserve">Contar con conocimientos en el idioma inglés </w:t>
      </w:r>
    </w:p>
    <w:p w:rsidR="00187E55" w:rsidRPr="00347F24" w:rsidRDefault="00187E55" w:rsidP="000D31EC">
      <w:pPr>
        <w:ind w:left="2410" w:hanging="2410"/>
        <w:jc w:val="both"/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</w:pP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Para mayor información, favor </w:t>
      </w:r>
      <w:r w:rsidRPr="00347F24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leer de manera completa y a detalle</w:t>
      </w: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 el folleto informativo adjunto y confirmar si cumple con los requisitos solicitados (archivo: </w:t>
      </w:r>
      <w:r w:rsidR="002D239F"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>“</w:t>
      </w:r>
      <w:r w:rsidR="00347F24"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>J1604130 Administración de la Atención Médica en Desastres para Países Latinoamericanos.pdf</w:t>
      </w:r>
      <w:r w:rsidR="002D239F"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>”)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> 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  <w:r w:rsidRPr="00347F24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> 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  <w:r w:rsidRPr="00347F24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1. New APPLICATION FORM</w:t>
      </w: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: Llenar en digital y en </w:t>
      </w:r>
      <w:r w:rsidRPr="00347F24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INGLÉS</w:t>
      </w: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</w:t>
      </w:r>
      <w:r w:rsidRPr="00347F24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 xml:space="preserve">deben llenar todos los datos solicitados. 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i/>
          <w:color w:val="auto"/>
          <w:sz w:val="22"/>
          <w:szCs w:val="22"/>
          <w:lang w:val="es-PE"/>
        </w:rPr>
        <w:t>Nota importante</w:t>
      </w: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>: En la Hoja que dice “</w:t>
      </w:r>
      <w:r w:rsidRPr="00347F24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>OFFICIAL APPLICATION”</w:t>
      </w: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, en el recuadro que está luego de las líneas punteadas  ubicado en la parte inferior de la hoja, </w:t>
      </w:r>
      <w:r w:rsidRPr="00347F24">
        <w:rPr>
          <w:rStyle w:val="Textoennegrita"/>
          <w:rFonts w:asciiTheme="minorHAnsi" w:hAnsiTheme="minorHAnsi" w:cstheme="minorHAnsi"/>
          <w:color w:val="auto"/>
          <w:sz w:val="22"/>
          <w:szCs w:val="22"/>
          <w:lang w:val="es-PE"/>
        </w:rPr>
        <w:t>NO se debe LLENAR</w:t>
      </w: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 ningún dato, ya que será llenado por APCI.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2. Ficha de Inscripción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3. Carta de Presentación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4. Carta de No Objeción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5. Carta de Compromiso de Retorno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6. Declaración Jurada Simple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> 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  <w:r w:rsidRPr="00347F24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>Otros documentos: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-El postulante deberá adjuntar: copia de pasaporte vigente, copia de visa a USA </w:t>
      </w:r>
      <w:r w:rsidRPr="00347F24">
        <w:rPr>
          <w:rFonts w:asciiTheme="minorHAnsi" w:hAnsiTheme="minorHAnsi" w:cstheme="minorHAnsi"/>
          <w:i/>
          <w:iCs/>
          <w:color w:val="auto"/>
          <w:sz w:val="22"/>
          <w:szCs w:val="22"/>
          <w:lang w:val="es-PE"/>
        </w:rPr>
        <w:t>si la tuviera</w:t>
      </w: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>, copia de DNI, CV simple (no documentado), copia de grado académico, certificado médico y certificado de antecedentes policiales simple, de acuerdo al archivo: "Pasos candidato (Curso JICA) Interviene APCI.doc".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>-</w:t>
      </w:r>
      <w:r w:rsidR="00347F24"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>Informe de Trabajo</w:t>
      </w:r>
      <w:r w:rsidR="00187E55"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 (</w:t>
      </w:r>
      <w:r w:rsidR="00347F24"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VI. Anexo, </w:t>
      </w:r>
      <w:r w:rsidR="00187E55"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pág. </w:t>
      </w:r>
      <w:r w:rsidR="00347F24"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14 </w:t>
      </w: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>del folleto informativo), debe ser presentado junto c</w:t>
      </w:r>
      <w:r w:rsidR="00347F24"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>on el expediente de postulación, para su elaboración deberá seguir las indicaciones brindadas en la página 14.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  <w:r w:rsidRPr="00347F24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>Documentos a presentar solo en caso de ser seleccionado: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</w:p>
    <w:p w:rsidR="005C63A4" w:rsidRPr="00347F24" w:rsidRDefault="001C2083" w:rsidP="005C63A4">
      <w:pPr>
        <w:jc w:val="both"/>
        <w:rPr>
          <w:rFonts w:asciiTheme="minorHAnsi" w:hAnsiTheme="minorHAnsi" w:cstheme="minorHAnsi"/>
          <w:i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i/>
          <w:color w:val="auto"/>
          <w:sz w:val="22"/>
          <w:szCs w:val="22"/>
          <w:lang w:val="es-PE"/>
        </w:rPr>
        <w:t>El contenido</w:t>
      </w:r>
      <w:r w:rsidR="005C63A4" w:rsidRPr="00347F24">
        <w:rPr>
          <w:rFonts w:asciiTheme="minorHAnsi" w:hAnsiTheme="minorHAnsi" w:cstheme="minorHAnsi"/>
          <w:i/>
          <w:color w:val="auto"/>
          <w:sz w:val="22"/>
          <w:szCs w:val="22"/>
          <w:lang w:val="es-PE"/>
        </w:rPr>
        <w:t xml:space="preserve"> de esta tarea será notificado solo a los participantes aceptados.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  <w:r w:rsidRPr="00347F24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>Otras consideraciones: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Les recordamos que el candidato que sea seleccionado para este programa, deberá preparar un Plan de Acción durante su curso en Japón para aplicarlo en su país de origen a su retorno.  Asimismo, </w:t>
      </w:r>
      <w:r w:rsidRPr="00347F24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tiene la obligación</w:t>
      </w: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 w:rsidRPr="00347F24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Reporte de Progreso</w:t>
      </w: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final.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> 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</w:pPr>
      <w:r w:rsidRPr="00347F24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>Asocia</w:t>
      </w:r>
      <w:r w:rsidR="006466B4" w:rsidRPr="00347F24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>ción de Ex becarios de JICA Perú</w:t>
      </w:r>
      <w:r w:rsidRPr="00347F24">
        <w:rPr>
          <w:rFonts w:asciiTheme="minorHAnsi" w:hAnsiTheme="minorHAnsi" w:cstheme="minorHAnsi"/>
          <w:color w:val="auto"/>
          <w:sz w:val="22"/>
          <w:szCs w:val="22"/>
          <w:u w:val="single"/>
          <w:lang w:val="es-PE"/>
        </w:rPr>
        <w:t xml:space="preserve"> – APEBEJA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Es la Asociación que congrega a los Ex becarios de JICA en el Perú. A su retorno del curso en Japón, </w:t>
      </w:r>
      <w:r w:rsidRPr="00347F24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>el becario se compromete a inscribirse a la Asociación</w:t>
      </w: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 y participar de las actividades, convocatorias y/o requerimientos que organice esta asociación y colaborar con los requerimientos y/o solicitudes que pudiera realizar JICA, Embajada de Japón o la misma Asociación en los años posteriores luego de su capacitación.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</w:p>
    <w:p w:rsidR="005C63A4" w:rsidRPr="00347F24" w:rsidRDefault="005C63A4" w:rsidP="005C63A4">
      <w:pPr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color w:val="auto"/>
          <w:sz w:val="22"/>
          <w:szCs w:val="22"/>
          <w:lang w:val="es-PE"/>
        </w:rPr>
      </w:pPr>
    </w:p>
    <w:p w:rsidR="005C63A4" w:rsidRPr="00347F24" w:rsidRDefault="005C63A4" w:rsidP="005C63A4">
      <w:pPr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sz w:val="22"/>
          <w:szCs w:val="22"/>
          <w:lang w:val="es-PE"/>
        </w:rPr>
        <w:t>En caso se encuentren interesados en participar, sírvanse enviar su expediente de postulación a: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347F24">
        <w:rPr>
          <w:rStyle w:val="Textoennegrita"/>
          <w:rFonts w:asciiTheme="minorHAnsi" w:hAnsiTheme="minorHAnsi" w:cstheme="minorHAnsi"/>
          <w:sz w:val="22"/>
          <w:szCs w:val="22"/>
          <w:lang w:val="es-PE"/>
        </w:rPr>
        <w:t xml:space="preserve">Agencia </w:t>
      </w:r>
      <w:proofErr w:type="gramStart"/>
      <w:r w:rsidRPr="00347F24">
        <w:rPr>
          <w:rStyle w:val="Textoennegrita"/>
          <w:rFonts w:asciiTheme="minorHAnsi" w:hAnsiTheme="minorHAnsi" w:cstheme="minorHAnsi"/>
          <w:sz w:val="22"/>
          <w:szCs w:val="22"/>
          <w:lang w:val="es-PE"/>
        </w:rPr>
        <w:t>Peruana</w:t>
      </w:r>
      <w:proofErr w:type="gramEnd"/>
      <w:r w:rsidRPr="00347F24">
        <w:rPr>
          <w:rStyle w:val="Textoennegrita"/>
          <w:rFonts w:asciiTheme="minorHAnsi" w:hAnsiTheme="minorHAnsi" w:cstheme="minorHAnsi"/>
          <w:sz w:val="22"/>
          <w:szCs w:val="22"/>
          <w:lang w:val="es-PE"/>
        </w:rPr>
        <w:t xml:space="preserve"> de Cooperación Internacional - APCI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sz w:val="22"/>
          <w:szCs w:val="22"/>
          <w:lang w:val="es-PE"/>
        </w:rPr>
        <w:t>Av. José Pardo Nº 261, Miraflores, Lima.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347F24">
        <w:rPr>
          <w:rFonts w:asciiTheme="minorHAnsi" w:hAnsiTheme="minorHAnsi" w:cstheme="minorHAnsi"/>
          <w:sz w:val="22"/>
          <w:szCs w:val="22"/>
          <w:lang w:val="en-US"/>
        </w:rPr>
        <w:t>Telf</w:t>
      </w:r>
      <w:proofErr w:type="spellEnd"/>
      <w:r w:rsidRPr="00347F24">
        <w:rPr>
          <w:rFonts w:asciiTheme="minorHAnsi" w:hAnsiTheme="minorHAnsi" w:cstheme="minorHAnsi"/>
          <w:sz w:val="22"/>
          <w:szCs w:val="22"/>
          <w:lang w:val="en-US"/>
        </w:rPr>
        <w:t>: 617-3600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47F24">
        <w:rPr>
          <w:rFonts w:asciiTheme="minorHAnsi" w:hAnsiTheme="minorHAnsi" w:cstheme="minorHAnsi"/>
          <w:sz w:val="22"/>
          <w:szCs w:val="22"/>
          <w:lang w:val="en-US"/>
        </w:rPr>
        <w:t xml:space="preserve">Web: </w:t>
      </w:r>
      <w:hyperlink r:id="rId6" w:history="1">
        <w:r w:rsidRPr="00347F24">
          <w:rPr>
            <w:rStyle w:val="Hipervnculo"/>
            <w:rFonts w:asciiTheme="minorHAnsi" w:hAnsiTheme="minorHAnsi" w:cstheme="minorHAnsi"/>
            <w:sz w:val="22"/>
            <w:szCs w:val="22"/>
            <w:lang w:val="en-US"/>
          </w:rPr>
          <w:t>www.apci.gob.pe</w:t>
        </w:r>
      </w:hyperlink>
      <w:r w:rsidRPr="00347F24">
        <w:rPr>
          <w:rStyle w:val="Hipervnculo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47F24">
        <w:rPr>
          <w:rFonts w:asciiTheme="minorHAnsi" w:hAnsiTheme="minorHAnsi" w:cstheme="minorHAnsi"/>
          <w:sz w:val="22"/>
          <w:szCs w:val="22"/>
          <w:lang w:val="en-US"/>
        </w:rPr>
        <w:t> </w:t>
      </w:r>
    </w:p>
    <w:p w:rsidR="005C63A4" w:rsidRPr="00347F24" w:rsidRDefault="005C63A4" w:rsidP="005C63A4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</w:pPr>
      <w:r w:rsidRPr="00347F24">
        <w:rPr>
          <w:rFonts w:asciiTheme="minorHAnsi" w:hAnsiTheme="minorHAnsi" w:cstheme="minorHAnsi"/>
          <w:color w:val="auto"/>
          <w:sz w:val="22"/>
          <w:szCs w:val="22"/>
          <w:lang w:val="es-PE"/>
        </w:rPr>
        <w:t xml:space="preserve">Fecha límite de entrega a APCI: </w:t>
      </w:r>
      <w:r w:rsidR="00347F24" w:rsidRPr="00347F24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>lunes  15</w:t>
      </w:r>
      <w:r w:rsidR="0077061A" w:rsidRPr="00347F24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 xml:space="preserve"> </w:t>
      </w:r>
      <w:r w:rsidRPr="00347F2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>de</w:t>
      </w:r>
      <w:r w:rsidR="00347F24" w:rsidRPr="00347F2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 xml:space="preserve"> jul</w:t>
      </w:r>
      <w:r w:rsidR="001C2083" w:rsidRPr="00347F2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>i</w:t>
      </w:r>
      <w:r w:rsidRPr="00347F2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 xml:space="preserve">o de 2016. </w:t>
      </w:r>
      <w:r w:rsidRPr="00347F24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PE"/>
        </w:rPr>
        <w:t>(Verificar con APCI).</w:t>
      </w:r>
    </w:p>
    <w:p w:rsidR="00F500DF" w:rsidRPr="001C2083" w:rsidRDefault="00F500DF" w:rsidP="005C63A4">
      <w:pPr>
        <w:rPr>
          <w:lang w:val="es-PE"/>
        </w:rPr>
      </w:pPr>
    </w:p>
    <w:sectPr w:rsidR="00F500DF" w:rsidRPr="001C2083" w:rsidSect="00D90A1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3975"/>
    <w:multiLevelType w:val="hybridMultilevel"/>
    <w:tmpl w:val="DC986FBA"/>
    <w:lvl w:ilvl="0" w:tplc="0C6871F2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B0"/>
    <w:rsid w:val="000776A5"/>
    <w:rsid w:val="000A042C"/>
    <w:rsid w:val="000D31EC"/>
    <w:rsid w:val="00110821"/>
    <w:rsid w:val="00123238"/>
    <w:rsid w:val="00156E5D"/>
    <w:rsid w:val="00187E55"/>
    <w:rsid w:val="001C2083"/>
    <w:rsid w:val="00271BBF"/>
    <w:rsid w:val="002D239F"/>
    <w:rsid w:val="002F2526"/>
    <w:rsid w:val="00347F24"/>
    <w:rsid w:val="003B44B5"/>
    <w:rsid w:val="00486F39"/>
    <w:rsid w:val="005136CC"/>
    <w:rsid w:val="0051729F"/>
    <w:rsid w:val="005266BC"/>
    <w:rsid w:val="005A0807"/>
    <w:rsid w:val="005C63A4"/>
    <w:rsid w:val="005E7280"/>
    <w:rsid w:val="006466B4"/>
    <w:rsid w:val="006C4132"/>
    <w:rsid w:val="006E0BFB"/>
    <w:rsid w:val="007217A9"/>
    <w:rsid w:val="007467DF"/>
    <w:rsid w:val="0077061A"/>
    <w:rsid w:val="007B22DA"/>
    <w:rsid w:val="007E70A9"/>
    <w:rsid w:val="00807137"/>
    <w:rsid w:val="008245B5"/>
    <w:rsid w:val="008837FF"/>
    <w:rsid w:val="008A2167"/>
    <w:rsid w:val="0093361C"/>
    <w:rsid w:val="00946CDA"/>
    <w:rsid w:val="009507B0"/>
    <w:rsid w:val="009E4C06"/>
    <w:rsid w:val="009F0442"/>
    <w:rsid w:val="00A300B7"/>
    <w:rsid w:val="00AD66C8"/>
    <w:rsid w:val="00B6364A"/>
    <w:rsid w:val="00C0384F"/>
    <w:rsid w:val="00C22F6C"/>
    <w:rsid w:val="00C503F7"/>
    <w:rsid w:val="00C54FE0"/>
    <w:rsid w:val="00C8734B"/>
    <w:rsid w:val="00D24470"/>
    <w:rsid w:val="00D27D92"/>
    <w:rsid w:val="00D607DC"/>
    <w:rsid w:val="00D8006A"/>
    <w:rsid w:val="00D90A12"/>
    <w:rsid w:val="00D90AA5"/>
    <w:rsid w:val="00E127D9"/>
    <w:rsid w:val="00E536ED"/>
    <w:rsid w:val="00EF52D9"/>
    <w:rsid w:val="00F1363D"/>
    <w:rsid w:val="00F251AA"/>
    <w:rsid w:val="00F500DF"/>
    <w:rsid w:val="00F63BCB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ci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  Marling</dc:creator>
  <cp:lastModifiedBy>Saydy Vera Rojas</cp:lastModifiedBy>
  <cp:revision>2</cp:revision>
  <dcterms:created xsi:type="dcterms:W3CDTF">2016-07-19T21:05:00Z</dcterms:created>
  <dcterms:modified xsi:type="dcterms:W3CDTF">2016-07-19T21:05:00Z</dcterms:modified>
</cp:coreProperties>
</file>